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ED18" w14:textId="77777777" w:rsidR="00753DDD" w:rsidRPr="00A56D2E" w:rsidRDefault="006079C8" w:rsidP="001B5AE8">
      <w:pPr>
        <w:jc w:val="center"/>
        <w:rPr>
          <w:b/>
        </w:rPr>
      </w:pPr>
      <w:r>
        <w:rPr>
          <w:b/>
        </w:rPr>
        <w:t xml:space="preserve"> </w:t>
      </w:r>
    </w:p>
    <w:p w14:paraId="1FCFAB54" w14:textId="77777777" w:rsidR="00753DDD" w:rsidRPr="00A56D2E" w:rsidRDefault="00753DDD" w:rsidP="00753DDD">
      <w:pPr>
        <w:jc w:val="center"/>
        <w:rPr>
          <w:b/>
        </w:rPr>
      </w:pPr>
      <w:r w:rsidRPr="00A56D2E">
        <w:rPr>
          <w:b/>
        </w:rPr>
        <w:t>ИНСТРУКЦИЯ</w:t>
      </w:r>
    </w:p>
    <w:p w14:paraId="7CEC87DC" w14:textId="77777777" w:rsidR="00753DDD" w:rsidRPr="00A56D2E" w:rsidRDefault="00753DDD" w:rsidP="00753DDD">
      <w:pPr>
        <w:jc w:val="center"/>
        <w:rPr>
          <w:b/>
        </w:rPr>
      </w:pPr>
      <w:r w:rsidRPr="00A56D2E">
        <w:rPr>
          <w:b/>
        </w:rPr>
        <w:t>по медицинскому применению препарата</w:t>
      </w:r>
    </w:p>
    <w:p w14:paraId="1924F4AA" w14:textId="77777777" w:rsidR="00753DDD" w:rsidRPr="00A56D2E" w:rsidRDefault="00753DDD" w:rsidP="00753DDD">
      <w:pPr>
        <w:ind w:left="709" w:hanging="709"/>
        <w:jc w:val="center"/>
        <w:rPr>
          <w:bCs/>
        </w:rPr>
      </w:pPr>
      <w:r w:rsidRPr="00A56D2E">
        <w:rPr>
          <w:bCs/>
        </w:rPr>
        <w:t>(информация для специалистов)</w:t>
      </w:r>
    </w:p>
    <w:p w14:paraId="39CAED68" w14:textId="77777777" w:rsidR="00753DDD" w:rsidRPr="00A56D2E" w:rsidRDefault="00753DDD" w:rsidP="00753DDD">
      <w:pPr>
        <w:jc w:val="both"/>
        <w:rPr>
          <w:b/>
        </w:rPr>
      </w:pPr>
    </w:p>
    <w:p w14:paraId="39028BD8" w14:textId="77777777" w:rsidR="00DB4199" w:rsidRPr="00A56D2E" w:rsidRDefault="00DB4199" w:rsidP="001B5AE8">
      <w:pPr>
        <w:jc w:val="center"/>
        <w:rPr>
          <w:b/>
        </w:rPr>
      </w:pPr>
    </w:p>
    <w:p w14:paraId="31BBA7E0" w14:textId="77777777" w:rsidR="00DB4199" w:rsidRPr="00A56D2E" w:rsidRDefault="00DB4199" w:rsidP="00A56D2E">
      <w:pPr>
        <w:tabs>
          <w:tab w:val="left" w:pos="426"/>
        </w:tabs>
        <w:rPr>
          <w:b/>
        </w:rPr>
      </w:pPr>
      <w:r w:rsidRPr="00A56D2E">
        <w:rPr>
          <w:b/>
        </w:rPr>
        <w:t xml:space="preserve">1.    НАЗВАНИЕ </w:t>
      </w:r>
      <w:r w:rsidR="00EA1F2A" w:rsidRPr="00A56D2E">
        <w:rPr>
          <w:b/>
        </w:rPr>
        <w:t>ЛЕКАРСТВЕННОГО СРЕДСТВА</w:t>
      </w:r>
    </w:p>
    <w:p w14:paraId="0723FE04" w14:textId="77777777" w:rsidR="00DB4199" w:rsidRPr="00A56D2E" w:rsidRDefault="00DB4199" w:rsidP="00B26A6F">
      <w:pPr>
        <w:spacing w:before="120"/>
        <w:rPr>
          <w:b/>
        </w:rPr>
      </w:pPr>
      <w:proofErr w:type="spellStart"/>
      <w:r w:rsidRPr="00A56D2E">
        <w:rPr>
          <w:b/>
        </w:rPr>
        <w:t>Парлазин</w:t>
      </w:r>
      <w:proofErr w:type="spellEnd"/>
      <w:r w:rsidRPr="00A56D2E">
        <w:rPr>
          <w:b/>
          <w:vertAlign w:val="superscript"/>
        </w:rPr>
        <w:t>®</w:t>
      </w:r>
      <w:r w:rsidRPr="00A56D2E">
        <w:rPr>
          <w:b/>
        </w:rPr>
        <w:t xml:space="preserve"> таблетки, покрытые оболочкой</w:t>
      </w:r>
      <w:r w:rsidR="00026BE7" w:rsidRPr="00A56D2E">
        <w:rPr>
          <w:b/>
        </w:rPr>
        <w:t xml:space="preserve"> 10 мг</w:t>
      </w:r>
    </w:p>
    <w:p w14:paraId="0AD4976E" w14:textId="77777777" w:rsidR="00DB4199" w:rsidRPr="00A56D2E" w:rsidRDefault="00DB4199" w:rsidP="001B5AE8">
      <w:pPr>
        <w:jc w:val="both"/>
      </w:pPr>
      <w:r w:rsidRPr="00A56D2E">
        <w:rPr>
          <w:b/>
          <w:bCs/>
        </w:rPr>
        <w:t xml:space="preserve">Международное непатентованное название (МНН): </w:t>
      </w:r>
      <w:proofErr w:type="spellStart"/>
      <w:r w:rsidRPr="00A56D2E">
        <w:t>Цетиризин</w:t>
      </w:r>
      <w:proofErr w:type="spellEnd"/>
      <w:r w:rsidRPr="00A56D2E">
        <w:t xml:space="preserve"> (</w:t>
      </w:r>
      <w:proofErr w:type="spellStart"/>
      <w:r w:rsidRPr="00A56D2E">
        <w:t>Cetirizine</w:t>
      </w:r>
      <w:proofErr w:type="spellEnd"/>
      <w:r w:rsidRPr="00A56D2E">
        <w:t>)</w:t>
      </w:r>
    </w:p>
    <w:p w14:paraId="18C1FE60" w14:textId="77777777" w:rsidR="0084283F" w:rsidRPr="00A56D2E" w:rsidRDefault="0084283F" w:rsidP="001B5AE8">
      <w:pPr>
        <w:jc w:val="both"/>
        <w:rPr>
          <w:b/>
        </w:rPr>
      </w:pPr>
    </w:p>
    <w:p w14:paraId="6548712E" w14:textId="77777777" w:rsidR="00DB4199" w:rsidRPr="00A56D2E" w:rsidRDefault="00DB4199" w:rsidP="00A56D2E">
      <w:pPr>
        <w:tabs>
          <w:tab w:val="left" w:pos="426"/>
        </w:tabs>
        <w:jc w:val="both"/>
        <w:rPr>
          <w:b/>
          <w:bCs/>
        </w:rPr>
      </w:pPr>
      <w:r w:rsidRPr="00A56D2E">
        <w:rPr>
          <w:b/>
        </w:rPr>
        <w:t>2.    СОСТАВ</w:t>
      </w:r>
      <w:r w:rsidR="00EA1F2A" w:rsidRPr="00A56D2E">
        <w:rPr>
          <w:b/>
        </w:rPr>
        <w:t xml:space="preserve"> ЛЕКАРСТВЕННОГО СРЕДСТВА</w:t>
      </w:r>
    </w:p>
    <w:p w14:paraId="272AD66B" w14:textId="77777777" w:rsidR="00DB4199" w:rsidRPr="00A56D2E" w:rsidRDefault="00026BE7" w:rsidP="003E50E6">
      <w:pPr>
        <w:spacing w:before="120"/>
        <w:jc w:val="both"/>
      </w:pPr>
      <w:r w:rsidRPr="00A56D2E">
        <w:t xml:space="preserve">Действующее </w:t>
      </w:r>
      <w:r w:rsidR="00DB4199" w:rsidRPr="00A56D2E">
        <w:t xml:space="preserve">вещество: 10 мг </w:t>
      </w:r>
      <w:proofErr w:type="spellStart"/>
      <w:r w:rsidR="00DB4199" w:rsidRPr="00A56D2E">
        <w:t>цетиризина</w:t>
      </w:r>
      <w:proofErr w:type="spellEnd"/>
      <w:r w:rsidR="00DB4199" w:rsidRPr="00A56D2E">
        <w:t xml:space="preserve"> </w:t>
      </w:r>
      <w:proofErr w:type="spellStart"/>
      <w:r w:rsidR="00A37B0E" w:rsidRPr="00A37B0E">
        <w:rPr>
          <w:color w:val="FF0000"/>
        </w:rPr>
        <w:t>ди</w:t>
      </w:r>
      <w:r w:rsidR="00DB4199" w:rsidRPr="00A56D2E">
        <w:t>гидрохлорида</w:t>
      </w:r>
      <w:proofErr w:type="spellEnd"/>
      <w:r w:rsidR="00DB4199" w:rsidRPr="00A56D2E">
        <w:t xml:space="preserve"> (соответствует 8</w:t>
      </w:r>
      <w:r w:rsidR="00FC189B" w:rsidRPr="00A56D2E">
        <w:t>,</w:t>
      </w:r>
      <w:r w:rsidR="00DB4199" w:rsidRPr="00A56D2E">
        <w:t xml:space="preserve">42 мг </w:t>
      </w:r>
      <w:proofErr w:type="spellStart"/>
      <w:r w:rsidR="00DB4199" w:rsidRPr="00A56D2E">
        <w:t>цетиризина</w:t>
      </w:r>
      <w:proofErr w:type="spellEnd"/>
      <w:r w:rsidR="00DB4199" w:rsidRPr="00A56D2E">
        <w:t>) в каждой таблетке, покрытой оболочкой.</w:t>
      </w:r>
    </w:p>
    <w:p w14:paraId="31707F25" w14:textId="77777777" w:rsidR="00DB4199" w:rsidRPr="00A56D2E" w:rsidRDefault="00DB4199" w:rsidP="003E50E6">
      <w:pPr>
        <w:jc w:val="both"/>
      </w:pPr>
      <w:r w:rsidRPr="00A56D2E">
        <w:t xml:space="preserve">Вспомогательные вещества с известным эффектом: каждая </w:t>
      </w:r>
      <w:r w:rsidR="00026BE7" w:rsidRPr="00A56D2E">
        <w:t>таблетка, содержит 11,</w:t>
      </w:r>
      <w:r w:rsidRPr="00A56D2E">
        <w:t>5 мг лактоз</w:t>
      </w:r>
      <w:r w:rsidR="006114F2" w:rsidRPr="006114F2">
        <w:t>ы</w:t>
      </w:r>
      <w:r w:rsidRPr="00A56D2E">
        <w:t xml:space="preserve"> моногидра</w:t>
      </w:r>
      <w:r w:rsidR="00FB4269" w:rsidRPr="00FB4269">
        <w:t>та</w:t>
      </w:r>
      <w:r w:rsidRPr="00A56D2E">
        <w:t xml:space="preserve"> и красителя </w:t>
      </w:r>
      <w:proofErr w:type="spellStart"/>
      <w:r w:rsidR="00753DDD" w:rsidRPr="00A56D2E">
        <w:t>сансет</w:t>
      </w:r>
      <w:proofErr w:type="spellEnd"/>
      <w:r w:rsidR="00753DDD" w:rsidRPr="00A56D2E">
        <w:t xml:space="preserve"> желтый C.I.15985 (E110)</w:t>
      </w:r>
      <w:r w:rsidRPr="00A56D2E">
        <w:t>.</w:t>
      </w:r>
    </w:p>
    <w:p w14:paraId="43CA71BA" w14:textId="77777777" w:rsidR="00DB4199" w:rsidRPr="00A56D2E" w:rsidRDefault="00DB4199" w:rsidP="001B5AE8">
      <w:pPr>
        <w:spacing w:before="120"/>
        <w:jc w:val="both"/>
      </w:pPr>
      <w:r w:rsidRPr="00A56D2E">
        <w:t>Полный список вспомогательных веществ приведен</w:t>
      </w:r>
      <w:r w:rsidRPr="00A56D2E" w:rsidDel="00B32DAF">
        <w:t xml:space="preserve"> </w:t>
      </w:r>
      <w:r w:rsidRPr="00A56D2E">
        <w:t>в разделе 6.1.</w:t>
      </w:r>
    </w:p>
    <w:p w14:paraId="4879CAC1" w14:textId="77777777" w:rsidR="0032467A" w:rsidRPr="00A56D2E" w:rsidRDefault="0032467A" w:rsidP="001B5AE8">
      <w:pPr>
        <w:jc w:val="both"/>
        <w:rPr>
          <w:b/>
        </w:rPr>
      </w:pPr>
    </w:p>
    <w:p w14:paraId="03643452" w14:textId="77777777" w:rsidR="00DB4199" w:rsidRPr="00A56D2E" w:rsidRDefault="00DB4199" w:rsidP="00A56D2E">
      <w:pPr>
        <w:tabs>
          <w:tab w:val="left" w:pos="426"/>
        </w:tabs>
        <w:jc w:val="both"/>
        <w:rPr>
          <w:b/>
          <w:bCs/>
        </w:rPr>
      </w:pPr>
      <w:r w:rsidRPr="00A56D2E">
        <w:rPr>
          <w:b/>
        </w:rPr>
        <w:t>3.    ФОРМА</w:t>
      </w:r>
      <w:r w:rsidR="00EA1F2A" w:rsidRPr="00A56D2E">
        <w:rPr>
          <w:b/>
        </w:rPr>
        <w:t xml:space="preserve"> ВЫПУСКА</w:t>
      </w:r>
    </w:p>
    <w:p w14:paraId="3637D7FA" w14:textId="77777777" w:rsidR="00DB4199" w:rsidRPr="00A56D2E" w:rsidRDefault="00DB4199" w:rsidP="006D14F7">
      <w:pPr>
        <w:spacing w:before="120" w:after="120"/>
        <w:jc w:val="both"/>
      </w:pPr>
      <w:r w:rsidRPr="00A56D2E">
        <w:t>Таблетки, покрытые оболочкой.</w:t>
      </w:r>
    </w:p>
    <w:p w14:paraId="17654F6A" w14:textId="77777777" w:rsidR="003E50E6" w:rsidRDefault="0032467A" w:rsidP="003E50E6">
      <w:pPr>
        <w:jc w:val="both"/>
        <w:rPr>
          <w:color w:val="FF0000"/>
        </w:rPr>
      </w:pPr>
      <w:r w:rsidRPr="0032467A">
        <w:rPr>
          <w:color w:val="FF0000"/>
          <w:lang w:val="hu-HU"/>
        </w:rPr>
        <w:t>C</w:t>
      </w:r>
      <w:proofErr w:type="spellStart"/>
      <w:r w:rsidRPr="0032467A">
        <w:rPr>
          <w:color w:val="FF0000"/>
        </w:rPr>
        <w:t>ветло</w:t>
      </w:r>
      <w:proofErr w:type="spellEnd"/>
      <w:r w:rsidRPr="0032467A">
        <w:rPr>
          <w:color w:val="FF0000"/>
        </w:rPr>
        <w:t>-оранжевые, двояковыпуклые, продолговатые, с фаской таблетки, покрытые оболочкой, с риской на одной и гравировкой стилизованной буквы Е и кода 511 на другой стороне, без запаха.</w:t>
      </w:r>
    </w:p>
    <w:p w14:paraId="24A454D3" w14:textId="77777777" w:rsidR="00E17315" w:rsidRPr="00E17315" w:rsidRDefault="00E17315" w:rsidP="00E17315">
      <w:pPr>
        <w:spacing w:before="120"/>
        <w:jc w:val="both"/>
        <w:rPr>
          <w:color w:val="7030A0"/>
        </w:rPr>
      </w:pPr>
      <w:r w:rsidRPr="0066283F">
        <w:rPr>
          <w:color w:val="7030A0"/>
        </w:rPr>
        <w:t>С помощью риски таблетку можно разделить на две равные дозы.</w:t>
      </w:r>
    </w:p>
    <w:p w14:paraId="4F56E8C9" w14:textId="77777777" w:rsidR="0032467A" w:rsidRPr="00A56D2E" w:rsidRDefault="0032467A" w:rsidP="003E50E6">
      <w:pPr>
        <w:jc w:val="both"/>
        <w:rPr>
          <w:b/>
        </w:rPr>
      </w:pPr>
    </w:p>
    <w:p w14:paraId="542D4175" w14:textId="77777777" w:rsidR="00DB4199" w:rsidRPr="00A56D2E" w:rsidRDefault="00DB4199" w:rsidP="00A56D2E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4. </w:t>
      </w:r>
      <w:r w:rsidR="00A56D2E">
        <w:rPr>
          <w:b/>
        </w:rPr>
        <w:tab/>
      </w:r>
      <w:r w:rsidRPr="00A56D2E">
        <w:rPr>
          <w:b/>
        </w:rPr>
        <w:t>КЛИНИЧЕСКИЕ ДАННЫЕ</w:t>
      </w:r>
    </w:p>
    <w:p w14:paraId="6735088F" w14:textId="77777777" w:rsidR="003E50E6" w:rsidRPr="00A56D2E" w:rsidRDefault="003E50E6" w:rsidP="003E50E6">
      <w:pPr>
        <w:jc w:val="both"/>
        <w:rPr>
          <w:b/>
        </w:rPr>
      </w:pPr>
    </w:p>
    <w:p w14:paraId="789634BB" w14:textId="77777777" w:rsidR="00DB4199" w:rsidRPr="00A56D2E" w:rsidRDefault="00DB4199" w:rsidP="00A56D2E">
      <w:pPr>
        <w:tabs>
          <w:tab w:val="left" w:pos="426"/>
        </w:tabs>
        <w:jc w:val="both"/>
        <w:rPr>
          <w:b/>
          <w:bCs/>
        </w:rPr>
      </w:pPr>
      <w:proofErr w:type="gramStart"/>
      <w:r w:rsidRPr="00A56D2E">
        <w:rPr>
          <w:b/>
        </w:rPr>
        <w:t>4.1  Показания</w:t>
      </w:r>
      <w:proofErr w:type="gramEnd"/>
      <w:r w:rsidRPr="00A56D2E">
        <w:rPr>
          <w:b/>
        </w:rPr>
        <w:t xml:space="preserve"> к применению</w:t>
      </w:r>
    </w:p>
    <w:p w14:paraId="3571E185" w14:textId="77777777" w:rsidR="00DB4199" w:rsidRPr="00A56D2E" w:rsidRDefault="00DB4199" w:rsidP="001B5AE8">
      <w:pPr>
        <w:spacing w:before="120"/>
        <w:jc w:val="both"/>
      </w:pPr>
      <w:r w:rsidRPr="00A56D2E">
        <w:t xml:space="preserve">Для взрослых и детей в возрасте 6 лет и старше для </w:t>
      </w:r>
      <w:r w:rsidR="0014424B" w:rsidRPr="0014424B">
        <w:rPr>
          <w:color w:val="7030A0"/>
        </w:rPr>
        <w:t>облегчения</w:t>
      </w:r>
      <w:r w:rsidRPr="0014424B">
        <w:rPr>
          <w:color w:val="7030A0"/>
        </w:rPr>
        <w:t>:</w:t>
      </w:r>
    </w:p>
    <w:p w14:paraId="6CE58142" w14:textId="77777777" w:rsidR="00374057" w:rsidRPr="00A56D2E" w:rsidRDefault="00DB4199" w:rsidP="003E50E6">
      <w:pPr>
        <w:jc w:val="both"/>
      </w:pPr>
      <w:r w:rsidRPr="00A56D2E">
        <w:t xml:space="preserve">- симптомов сезонного и </w:t>
      </w:r>
      <w:proofErr w:type="gramStart"/>
      <w:r w:rsidR="00D958B7" w:rsidRPr="00D958B7">
        <w:rPr>
          <w:color w:val="00B050"/>
        </w:rPr>
        <w:t>круглогодичного</w:t>
      </w:r>
      <w:r w:rsidR="00F1385D" w:rsidRPr="00D958B7">
        <w:rPr>
          <w:color w:val="00B050"/>
        </w:rPr>
        <w:t xml:space="preserve"> </w:t>
      </w:r>
      <w:r w:rsidR="00F1385D" w:rsidRPr="00A56D2E">
        <w:t>аллергического ринита</w:t>
      </w:r>
      <w:proofErr w:type="gramEnd"/>
      <w:r w:rsidRPr="00A56D2E">
        <w:t xml:space="preserve"> и конъюнктивита</w:t>
      </w:r>
      <w:r w:rsidR="00F1385D">
        <w:t>;</w:t>
      </w:r>
      <w:r w:rsidRPr="00A56D2E">
        <w:t xml:space="preserve"> </w:t>
      </w:r>
    </w:p>
    <w:p w14:paraId="3B9CA7EE" w14:textId="77777777" w:rsidR="00DB4199" w:rsidRPr="00A56D2E" w:rsidRDefault="00DB4199" w:rsidP="003E50E6">
      <w:pPr>
        <w:jc w:val="both"/>
      </w:pPr>
      <w:r w:rsidRPr="00A56D2E">
        <w:t>- симптомов хронической идиопатической крапивницы</w:t>
      </w:r>
      <w:r w:rsidR="00F1385D">
        <w:t>.</w:t>
      </w:r>
    </w:p>
    <w:p w14:paraId="03E31F1F" w14:textId="77777777" w:rsidR="00DB4199" w:rsidRPr="00A56D2E" w:rsidRDefault="00DB4199" w:rsidP="003E50E6">
      <w:pPr>
        <w:jc w:val="both"/>
      </w:pPr>
    </w:p>
    <w:p w14:paraId="3B2D8A94" w14:textId="77777777" w:rsidR="00DB4199" w:rsidRPr="00A56D2E" w:rsidRDefault="00374057" w:rsidP="00A56D2E">
      <w:pPr>
        <w:numPr>
          <w:ilvl w:val="1"/>
          <w:numId w:val="12"/>
        </w:numPr>
        <w:tabs>
          <w:tab w:val="decimal" w:pos="-1260"/>
          <w:tab w:val="left" w:pos="426"/>
        </w:tabs>
        <w:ind w:left="0" w:firstLine="0"/>
        <w:jc w:val="both"/>
        <w:rPr>
          <w:b/>
          <w:bCs/>
        </w:rPr>
      </w:pPr>
      <w:r w:rsidRPr="00A56D2E">
        <w:rPr>
          <w:b/>
          <w:bCs/>
        </w:rPr>
        <w:t xml:space="preserve">Способ </w:t>
      </w:r>
      <w:r w:rsidR="00DB4199" w:rsidRPr="00A56D2E">
        <w:rPr>
          <w:b/>
          <w:bCs/>
        </w:rPr>
        <w:t xml:space="preserve">применения и </w:t>
      </w:r>
      <w:r w:rsidR="00DB4199" w:rsidRPr="006079C8">
        <w:rPr>
          <w:b/>
          <w:bCs/>
          <w:color w:val="7030A0"/>
        </w:rPr>
        <w:t>доз</w:t>
      </w:r>
      <w:r w:rsidR="006079C8" w:rsidRPr="006079C8">
        <w:rPr>
          <w:b/>
          <w:bCs/>
          <w:color w:val="7030A0"/>
        </w:rPr>
        <w:t>ы</w:t>
      </w:r>
    </w:p>
    <w:p w14:paraId="5D2A30F2" w14:textId="77777777" w:rsidR="00DB4199" w:rsidRPr="00A56D2E" w:rsidRDefault="00DB4199" w:rsidP="009D6F8E">
      <w:pPr>
        <w:spacing w:before="120"/>
        <w:jc w:val="both"/>
        <w:rPr>
          <w:bCs/>
          <w:u w:val="single"/>
        </w:rPr>
      </w:pPr>
      <w:r w:rsidRPr="00A56D2E">
        <w:rPr>
          <w:bCs/>
          <w:u w:val="single"/>
        </w:rPr>
        <w:t>Режим</w:t>
      </w:r>
      <w:r w:rsidRPr="00414FC2">
        <w:rPr>
          <w:bCs/>
          <w:color w:val="7030A0"/>
          <w:u w:val="single"/>
        </w:rPr>
        <w:t xml:space="preserve"> дозиров</w:t>
      </w:r>
      <w:r w:rsidR="00C230AA" w:rsidRPr="00414FC2">
        <w:rPr>
          <w:bCs/>
          <w:color w:val="7030A0"/>
          <w:u w:val="single"/>
        </w:rPr>
        <w:t>ания</w:t>
      </w:r>
    </w:p>
    <w:p w14:paraId="36A4A44F" w14:textId="77777777" w:rsidR="00DB4199" w:rsidRPr="00A56D2E" w:rsidRDefault="00DB4199" w:rsidP="001B5AE8">
      <w:pPr>
        <w:spacing w:before="120"/>
        <w:jc w:val="both"/>
        <w:rPr>
          <w:bCs/>
          <w:i/>
        </w:rPr>
      </w:pPr>
      <w:r w:rsidRPr="00A56D2E">
        <w:rPr>
          <w:bCs/>
          <w:i/>
        </w:rPr>
        <w:t>Взрослые:</w:t>
      </w:r>
    </w:p>
    <w:p w14:paraId="65402FDB" w14:textId="77777777" w:rsidR="00DB4199" w:rsidRPr="00A56D2E" w:rsidRDefault="00DB4199" w:rsidP="00F07BFC">
      <w:pPr>
        <w:jc w:val="both"/>
        <w:rPr>
          <w:bCs/>
        </w:rPr>
      </w:pPr>
      <w:r w:rsidRPr="00A56D2E">
        <w:rPr>
          <w:bCs/>
        </w:rPr>
        <w:t xml:space="preserve">Рекомендуемая доза составляет </w:t>
      </w:r>
      <w:r w:rsidR="005A29FC" w:rsidRPr="005A29FC">
        <w:rPr>
          <w:bCs/>
          <w:color w:val="FF0000"/>
        </w:rPr>
        <w:t xml:space="preserve">1 таблетку, покрытую оболочкой (10 мг) </w:t>
      </w:r>
      <w:r w:rsidR="00374057" w:rsidRPr="00A56D2E">
        <w:rPr>
          <w:bCs/>
        </w:rPr>
        <w:t>один раз в день.</w:t>
      </w:r>
    </w:p>
    <w:p w14:paraId="6A78D77F" w14:textId="77777777" w:rsidR="00DB4199" w:rsidRPr="00A56D2E" w:rsidRDefault="00DB4199" w:rsidP="001B5AE8">
      <w:pPr>
        <w:spacing w:before="120" w:after="120"/>
        <w:jc w:val="both"/>
        <w:rPr>
          <w:b/>
          <w:bCs/>
          <w:i/>
        </w:rPr>
      </w:pPr>
      <w:r w:rsidRPr="00A56D2E">
        <w:rPr>
          <w:b/>
          <w:bCs/>
          <w:i/>
        </w:rPr>
        <w:t>Дети и подростки:</w:t>
      </w:r>
    </w:p>
    <w:p w14:paraId="38F01567" w14:textId="77777777" w:rsidR="00DB4199" w:rsidRPr="00A56D2E" w:rsidRDefault="00DB4199" w:rsidP="001B5AE8">
      <w:pPr>
        <w:spacing w:before="120"/>
        <w:jc w:val="both"/>
        <w:rPr>
          <w:bCs/>
          <w:i/>
        </w:rPr>
      </w:pPr>
      <w:r w:rsidRPr="00A56D2E">
        <w:rPr>
          <w:bCs/>
          <w:i/>
        </w:rPr>
        <w:t>Детям в возрасте 12 лет и старше:</w:t>
      </w:r>
    </w:p>
    <w:p w14:paraId="6D71EA54" w14:textId="77777777" w:rsidR="00DB4199" w:rsidRPr="00A56D2E" w:rsidRDefault="00DB4199" w:rsidP="00F07BFC">
      <w:pPr>
        <w:spacing w:after="120"/>
        <w:jc w:val="both"/>
        <w:rPr>
          <w:bCs/>
        </w:rPr>
      </w:pPr>
      <w:r w:rsidRPr="00A56D2E">
        <w:rPr>
          <w:bCs/>
        </w:rPr>
        <w:t>Рекомендуемая доза составляет 1 таблетку, покрытую обо</w:t>
      </w:r>
      <w:r w:rsidR="00374057" w:rsidRPr="00A56D2E">
        <w:rPr>
          <w:bCs/>
        </w:rPr>
        <w:t>лочкой (10 мг) один раз в день.</w:t>
      </w:r>
    </w:p>
    <w:p w14:paraId="46379785" w14:textId="77777777" w:rsidR="00DB4199" w:rsidRPr="00A56D2E" w:rsidRDefault="00DB4199" w:rsidP="001B5AE8">
      <w:pPr>
        <w:spacing w:before="120"/>
        <w:jc w:val="both"/>
        <w:rPr>
          <w:bCs/>
          <w:i/>
        </w:rPr>
      </w:pPr>
      <w:r w:rsidRPr="00A56D2E">
        <w:rPr>
          <w:bCs/>
          <w:i/>
        </w:rPr>
        <w:t>Детям в возрасте от 6 до 12 лет:</w:t>
      </w:r>
    </w:p>
    <w:p w14:paraId="5DBC9EA9" w14:textId="77777777" w:rsidR="00DB4199" w:rsidRPr="00A56D2E" w:rsidRDefault="00DB4199" w:rsidP="00F07BFC">
      <w:pPr>
        <w:jc w:val="both"/>
        <w:rPr>
          <w:bCs/>
        </w:rPr>
      </w:pPr>
      <w:r w:rsidRPr="00A56D2E">
        <w:rPr>
          <w:bCs/>
        </w:rPr>
        <w:t xml:space="preserve">Рекомендуемая доза составляет ½ таблетки, покрытой оболочкой (5 мг) два раза в день. </w:t>
      </w:r>
    </w:p>
    <w:p w14:paraId="281F8EF7" w14:textId="77777777" w:rsidR="00EA1F2A" w:rsidRPr="00A56D2E" w:rsidRDefault="008F03EE" w:rsidP="001B5AE8">
      <w:pPr>
        <w:spacing w:before="120"/>
        <w:jc w:val="both"/>
        <w:rPr>
          <w:bCs/>
        </w:rPr>
      </w:pPr>
      <w:r w:rsidRPr="008F03EE">
        <w:rPr>
          <w:bCs/>
          <w:i/>
          <w:color w:val="FF0000"/>
        </w:rPr>
        <w:t>Д</w:t>
      </w:r>
      <w:r w:rsidR="00DB4199" w:rsidRPr="00A56D2E">
        <w:rPr>
          <w:bCs/>
          <w:i/>
        </w:rPr>
        <w:t>ет</w:t>
      </w:r>
      <w:r w:rsidRPr="008F03EE">
        <w:rPr>
          <w:bCs/>
          <w:i/>
          <w:color w:val="FF0000"/>
        </w:rPr>
        <w:t>ям</w:t>
      </w:r>
      <w:r w:rsidR="00DB4199" w:rsidRPr="00A56D2E">
        <w:rPr>
          <w:bCs/>
          <w:i/>
        </w:rPr>
        <w:t xml:space="preserve"> в возрасте от 2 до 6 лет</w:t>
      </w:r>
      <w:r w:rsidRPr="008F03EE">
        <w:rPr>
          <w:bCs/>
          <w:i/>
          <w:color w:val="FF0000"/>
        </w:rPr>
        <w:t>:</w:t>
      </w:r>
      <w:r w:rsidR="00DB4199" w:rsidRPr="00A56D2E">
        <w:rPr>
          <w:bCs/>
        </w:rPr>
        <w:t xml:space="preserve"> </w:t>
      </w:r>
    </w:p>
    <w:p w14:paraId="5DBC5DD7" w14:textId="77777777" w:rsidR="00EA1F2A" w:rsidRPr="00A56D2E" w:rsidRDefault="00EA1F2A" w:rsidP="00EA1F2A">
      <w:pPr>
        <w:jc w:val="both"/>
        <w:rPr>
          <w:bCs/>
        </w:rPr>
      </w:pPr>
      <w:r w:rsidRPr="00A56D2E">
        <w:rPr>
          <w:bCs/>
        </w:rPr>
        <w:t xml:space="preserve">Детям до 6 лет не рекомендуется назначать </w:t>
      </w:r>
      <w:proofErr w:type="spellStart"/>
      <w:r w:rsidRPr="00A56D2E">
        <w:rPr>
          <w:bCs/>
        </w:rPr>
        <w:t>Парлазин</w:t>
      </w:r>
      <w:proofErr w:type="spellEnd"/>
      <w:r w:rsidR="00E90BD5" w:rsidRPr="00A56D2E">
        <w:rPr>
          <w:bCs/>
          <w:vertAlign w:val="superscript"/>
        </w:rPr>
        <w:t>®</w:t>
      </w:r>
      <w:r w:rsidRPr="00A56D2E">
        <w:rPr>
          <w:bCs/>
        </w:rPr>
        <w:t xml:space="preserve"> в форме таблеток, так как таблетки </w:t>
      </w:r>
      <w:r w:rsidR="008F03EE">
        <w:rPr>
          <w:bCs/>
        </w:rPr>
        <w:t xml:space="preserve">               </w:t>
      </w:r>
      <w:r w:rsidRPr="00A56D2E">
        <w:rPr>
          <w:bCs/>
        </w:rPr>
        <w:t>не позволяют подобрать необходимые для этой возрастной группы дозы препарата.</w:t>
      </w:r>
    </w:p>
    <w:p w14:paraId="1E68DF38" w14:textId="77777777" w:rsidR="006A1788" w:rsidRDefault="00EA1F2A" w:rsidP="0034509A">
      <w:pPr>
        <w:jc w:val="both"/>
        <w:rPr>
          <w:bCs/>
        </w:rPr>
      </w:pPr>
      <w:r w:rsidRPr="00A56D2E">
        <w:rPr>
          <w:bCs/>
        </w:rPr>
        <w:t>А</w:t>
      </w:r>
      <w:r w:rsidR="00DB4199" w:rsidRPr="00A56D2E">
        <w:rPr>
          <w:bCs/>
        </w:rPr>
        <w:t>декватная доза рекомендуется в форме капель.</w:t>
      </w:r>
    </w:p>
    <w:p w14:paraId="38482037" w14:textId="77777777" w:rsidR="00DB4199" w:rsidRPr="006A1788" w:rsidRDefault="006A1788" w:rsidP="006A1788">
      <w:pPr>
        <w:tabs>
          <w:tab w:val="left" w:pos="2055"/>
        </w:tabs>
      </w:pPr>
      <w:r>
        <w:tab/>
      </w:r>
    </w:p>
    <w:p w14:paraId="4208B2A6" w14:textId="77777777" w:rsidR="00D45A43" w:rsidRPr="00D45A43" w:rsidRDefault="00D45A43" w:rsidP="00D45A43">
      <w:pPr>
        <w:spacing w:before="120"/>
        <w:jc w:val="both"/>
        <w:rPr>
          <w:bCs/>
          <w:iCs/>
          <w:color w:val="7030A0"/>
        </w:rPr>
      </w:pPr>
      <w:r w:rsidRPr="00D45A43">
        <w:rPr>
          <w:bCs/>
          <w:iCs/>
          <w:color w:val="7030A0"/>
        </w:rPr>
        <w:lastRenderedPageBreak/>
        <w:t>Максимальная продолжительность лечения у детей с сезонным ринитом и конъюнктивитом не должна превышать 4 недель</w:t>
      </w:r>
      <w:r w:rsidRPr="00D45A43">
        <w:rPr>
          <w:bCs/>
          <w:color w:val="7030A0"/>
        </w:rPr>
        <w:t>.</w:t>
      </w:r>
    </w:p>
    <w:p w14:paraId="62BA6DE2" w14:textId="77777777" w:rsidR="00DB4199" w:rsidRPr="00A56D2E" w:rsidRDefault="00DB4199" w:rsidP="001B5AE8">
      <w:pPr>
        <w:spacing w:before="120"/>
        <w:jc w:val="both"/>
        <w:rPr>
          <w:b/>
          <w:bCs/>
          <w:i/>
        </w:rPr>
      </w:pPr>
      <w:r w:rsidRPr="00A56D2E">
        <w:rPr>
          <w:b/>
          <w:bCs/>
          <w:i/>
        </w:rPr>
        <w:t>Специальные группы пациентов</w:t>
      </w:r>
      <w:r w:rsidR="00556385">
        <w:rPr>
          <w:b/>
          <w:bCs/>
          <w:i/>
        </w:rPr>
        <w:t>:</w:t>
      </w:r>
    </w:p>
    <w:p w14:paraId="2516604E" w14:textId="77777777" w:rsidR="00DB4199" w:rsidRPr="00A56D2E" w:rsidRDefault="00DB4199" w:rsidP="001B5AE8">
      <w:pPr>
        <w:spacing w:before="120"/>
        <w:jc w:val="both"/>
        <w:rPr>
          <w:bCs/>
        </w:rPr>
      </w:pPr>
      <w:r w:rsidRPr="00A56D2E">
        <w:rPr>
          <w:bCs/>
          <w:i/>
        </w:rPr>
        <w:t>Пожилые</w:t>
      </w:r>
      <w:r w:rsidRPr="00A56D2E">
        <w:rPr>
          <w:bCs/>
        </w:rPr>
        <w:t>:</w:t>
      </w:r>
    </w:p>
    <w:p w14:paraId="667944B5" w14:textId="77777777" w:rsidR="00DB4199" w:rsidRPr="00A56D2E" w:rsidRDefault="00DB4199" w:rsidP="001B5AE8">
      <w:pPr>
        <w:jc w:val="both"/>
      </w:pPr>
      <w:r w:rsidRPr="00A56D2E">
        <w:t>По имеющимся данным, при нормальной функции почек возраст не является причиной для уменьшения дозы. Необходимость коррекции дозы может возникнуть при нарушении функции почек у пожилых пациентов (см. раздел «</w:t>
      </w:r>
      <w:r w:rsidRPr="00A56D2E">
        <w:rPr>
          <w:i/>
        </w:rPr>
        <w:t>Пациенты с нарушением функции почек</w:t>
      </w:r>
      <w:r w:rsidRPr="00A56D2E">
        <w:t>»).</w:t>
      </w:r>
    </w:p>
    <w:p w14:paraId="554DD2AE" w14:textId="77777777" w:rsidR="00DB4199" w:rsidRPr="00A56D2E" w:rsidRDefault="00DB4199" w:rsidP="001B5AE8">
      <w:pPr>
        <w:spacing w:before="120"/>
        <w:jc w:val="both"/>
        <w:rPr>
          <w:bCs/>
          <w:i/>
        </w:rPr>
      </w:pPr>
      <w:r w:rsidRPr="00A56D2E">
        <w:rPr>
          <w:bCs/>
          <w:i/>
        </w:rPr>
        <w:t>Пациенты с нарушением функции почек:</w:t>
      </w:r>
    </w:p>
    <w:p w14:paraId="259851E0" w14:textId="77777777" w:rsidR="00DB4199" w:rsidRPr="00A56D2E" w:rsidRDefault="00A45636" w:rsidP="003E50E6">
      <w:pPr>
        <w:jc w:val="both"/>
        <w:rPr>
          <w:bCs/>
        </w:rPr>
      </w:pPr>
      <w:r w:rsidRPr="00A56D2E">
        <w:rPr>
          <w:bCs/>
        </w:rPr>
        <w:t xml:space="preserve">Для пациентов с </w:t>
      </w:r>
      <w:r w:rsidRPr="00A53CD5">
        <w:rPr>
          <w:bCs/>
          <w:color w:val="7030A0"/>
        </w:rPr>
        <w:t>нарушением функции</w:t>
      </w:r>
      <w:r w:rsidR="00A53CD5">
        <w:rPr>
          <w:bCs/>
        </w:rPr>
        <w:t xml:space="preserve"> </w:t>
      </w:r>
      <w:r w:rsidR="00A53CD5" w:rsidRPr="00A53CD5">
        <w:rPr>
          <w:bCs/>
          <w:color w:val="7030A0"/>
        </w:rPr>
        <w:t>почек средней и тяжелой степени тяжести</w:t>
      </w:r>
      <w:r w:rsidRPr="00A53CD5">
        <w:rPr>
          <w:bCs/>
          <w:color w:val="7030A0"/>
        </w:rPr>
        <w:t xml:space="preserve"> </w:t>
      </w:r>
      <w:r w:rsidRPr="00A56D2E">
        <w:rPr>
          <w:bCs/>
        </w:rPr>
        <w:t xml:space="preserve">отсутствуют данные по эффективности/безопасности </w:t>
      </w:r>
      <w:r w:rsidRPr="00A56D2E">
        <w:rPr>
          <w:rFonts w:eastAsia="FreeSetLightC"/>
          <w:bCs/>
        </w:rPr>
        <w:t>препарат</w:t>
      </w:r>
      <w:r w:rsidRPr="00A56D2E">
        <w:rPr>
          <w:bCs/>
        </w:rPr>
        <w:t xml:space="preserve">а. Так как </w:t>
      </w:r>
      <w:proofErr w:type="spellStart"/>
      <w:r w:rsidRPr="00A56D2E">
        <w:rPr>
          <w:bCs/>
        </w:rPr>
        <w:t>цетиризин</w:t>
      </w:r>
      <w:proofErr w:type="spellEnd"/>
      <w:r w:rsidRPr="00A56D2E">
        <w:rPr>
          <w:bCs/>
        </w:rPr>
        <w:t xml:space="preserve"> в основном выводится почками (см. раздел 5.2), то в случаях, когда </w:t>
      </w:r>
      <w:r w:rsidR="004249FC" w:rsidRPr="004249FC">
        <w:rPr>
          <w:bCs/>
          <w:color w:val="7030A0"/>
        </w:rPr>
        <w:t>невозможно применить альтернативное лечение</w:t>
      </w:r>
      <w:r w:rsidRPr="00A56D2E">
        <w:rPr>
          <w:bCs/>
        </w:rPr>
        <w:t>, д</w:t>
      </w:r>
      <w:r w:rsidR="00DB4199" w:rsidRPr="00A56D2E">
        <w:rPr>
          <w:bCs/>
        </w:rPr>
        <w:t>озу препарата следует подбирать индивидуально, с уч</w:t>
      </w:r>
      <w:r w:rsidR="00A37B0E" w:rsidRPr="00A37B0E">
        <w:rPr>
          <w:bCs/>
          <w:color w:val="FF0000"/>
        </w:rPr>
        <w:t>е</w:t>
      </w:r>
      <w:r w:rsidR="00DB4199" w:rsidRPr="00A56D2E">
        <w:rPr>
          <w:bCs/>
        </w:rPr>
        <w:t>том функции почек. Нижеприведенная таблица помогает выбрать правильную дозу. Для использования этой таблицы, необходимо определить клиренс креатинина (КК) в мл/мин. Для этого необходимо определить уровень креатинина в сыворотке и рассчитать КК по следующей формуле:</w:t>
      </w:r>
    </w:p>
    <w:p w14:paraId="5F89D118" w14:textId="77777777" w:rsidR="00DB4199" w:rsidRPr="00A56D2E" w:rsidRDefault="00DB4199" w:rsidP="003E50E6">
      <w:pPr>
        <w:spacing w:before="120"/>
        <w:rPr>
          <w:i/>
        </w:rPr>
      </w:pPr>
      <w:r w:rsidRPr="00A56D2E">
        <w:t>КК</w:t>
      </w:r>
      <w:r w:rsidRPr="00A56D2E">
        <w:rPr>
          <w:i/>
          <w:position w:val="-2"/>
        </w:rPr>
        <w:object w:dxaOrig="220" w:dyaOrig="160" w14:anchorId="1CB44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4pt;height:8.4pt" o:ole="">
            <v:imagedata r:id="rId11" o:title=""/>
          </v:shape>
          <o:OLEObject Type="Embed" ProgID="Equation.3" ShapeID="_x0000_i1033" DrawAspect="Content" ObjectID="_1592376230" r:id="rId12"/>
        </w:object>
      </w:r>
      <w:r w:rsidRPr="00A56D2E">
        <w:rPr>
          <w:i/>
          <w:position w:val="-30"/>
        </w:rPr>
        <w:object w:dxaOrig="4180" w:dyaOrig="680" w14:anchorId="4C4BCF59">
          <v:shape id="_x0000_i1034" type="#_x0000_t75" style="width:209.4pt;height:33.6pt" o:ole="">
            <v:imagedata r:id="rId13" o:title=""/>
          </v:shape>
          <o:OLEObject Type="Embed" ProgID="Equation.3" ShapeID="_x0000_i1034" DrawAspect="Content" ObjectID="_1592376231" r:id="rId14"/>
        </w:object>
      </w:r>
      <w:r w:rsidRPr="00A56D2E">
        <w:rPr>
          <w:i/>
        </w:rPr>
        <w:t>× 0.85 (у женщин)</w:t>
      </w:r>
    </w:p>
    <w:p w14:paraId="452773F0" w14:textId="77777777" w:rsidR="00DB4199" w:rsidRDefault="00DB4199" w:rsidP="001B5AE8">
      <w:pPr>
        <w:jc w:val="both"/>
      </w:pPr>
      <w:r w:rsidRPr="00A56D2E">
        <w:t>Коррекция дозы у пациентов с нарушениями функции почек:</w:t>
      </w:r>
    </w:p>
    <w:p w14:paraId="15979F73" w14:textId="77777777" w:rsidR="00B92281" w:rsidRPr="00A56D2E" w:rsidRDefault="00B92281" w:rsidP="001B5A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3573"/>
      </w:tblGrid>
      <w:tr w:rsidR="00DB4199" w:rsidRPr="00A56D2E" w14:paraId="7BD586F1" w14:textId="77777777" w:rsidTr="00E978F2">
        <w:tc>
          <w:tcPr>
            <w:tcW w:w="3119" w:type="dxa"/>
          </w:tcPr>
          <w:p w14:paraId="74CCA969" w14:textId="77777777" w:rsidR="00DB4199" w:rsidRPr="00A56D2E" w:rsidRDefault="00DB4199" w:rsidP="00455D70">
            <w:pPr>
              <w:jc w:val="center"/>
              <w:rPr>
                <w:b/>
              </w:rPr>
            </w:pPr>
            <w:r w:rsidRPr="00A56D2E">
              <w:rPr>
                <w:b/>
              </w:rPr>
              <w:t>Группа</w:t>
            </w:r>
          </w:p>
        </w:tc>
        <w:tc>
          <w:tcPr>
            <w:tcW w:w="2552" w:type="dxa"/>
          </w:tcPr>
          <w:p w14:paraId="6A8C088B" w14:textId="77777777" w:rsidR="00DB4199" w:rsidRPr="00A56D2E" w:rsidRDefault="00DB4199" w:rsidP="00455D70">
            <w:pPr>
              <w:jc w:val="center"/>
              <w:rPr>
                <w:b/>
              </w:rPr>
            </w:pPr>
            <w:r w:rsidRPr="00A56D2E">
              <w:rPr>
                <w:b/>
              </w:rPr>
              <w:t>Клиренс креатинина</w:t>
            </w:r>
          </w:p>
        </w:tc>
        <w:tc>
          <w:tcPr>
            <w:tcW w:w="3573" w:type="dxa"/>
          </w:tcPr>
          <w:p w14:paraId="1930AFD0" w14:textId="77777777" w:rsidR="00DB4199" w:rsidRPr="00A56D2E" w:rsidRDefault="00DB4199" w:rsidP="00455D70">
            <w:pPr>
              <w:jc w:val="center"/>
              <w:rPr>
                <w:b/>
              </w:rPr>
            </w:pPr>
            <w:r w:rsidRPr="00A56D2E">
              <w:rPr>
                <w:b/>
              </w:rPr>
              <w:t>Доза и частота при</w:t>
            </w:r>
            <w:r w:rsidR="00A37B0E" w:rsidRPr="00A37B0E">
              <w:rPr>
                <w:b/>
                <w:color w:val="FF0000"/>
              </w:rPr>
              <w:t>е</w:t>
            </w:r>
            <w:r w:rsidRPr="00A56D2E">
              <w:rPr>
                <w:b/>
              </w:rPr>
              <w:t>ма</w:t>
            </w:r>
          </w:p>
        </w:tc>
      </w:tr>
      <w:tr w:rsidR="00DB4199" w:rsidRPr="00A56D2E" w14:paraId="39411B5D" w14:textId="77777777" w:rsidTr="00E978F2">
        <w:tc>
          <w:tcPr>
            <w:tcW w:w="3119" w:type="dxa"/>
          </w:tcPr>
          <w:p w14:paraId="49A6B739" w14:textId="77777777" w:rsidR="00DB4199" w:rsidRPr="00A56D2E" w:rsidRDefault="00DB4199" w:rsidP="00455D70">
            <w:r w:rsidRPr="00A56D2E">
              <w:t>Нормальная функция почек</w:t>
            </w:r>
          </w:p>
        </w:tc>
        <w:tc>
          <w:tcPr>
            <w:tcW w:w="2552" w:type="dxa"/>
          </w:tcPr>
          <w:p w14:paraId="1BCFE04C" w14:textId="77777777" w:rsidR="00DB4199" w:rsidRPr="00A56D2E" w:rsidRDefault="00DB4199" w:rsidP="00455D70">
            <w:pPr>
              <w:jc w:val="both"/>
            </w:pPr>
            <w:r w:rsidRPr="00A56D2E">
              <w:t>≥80</w:t>
            </w:r>
          </w:p>
        </w:tc>
        <w:tc>
          <w:tcPr>
            <w:tcW w:w="3573" w:type="dxa"/>
          </w:tcPr>
          <w:p w14:paraId="10DC8E3E" w14:textId="77777777" w:rsidR="00DB4199" w:rsidRPr="00A56D2E" w:rsidRDefault="00DB4199" w:rsidP="00455D70">
            <w:pPr>
              <w:jc w:val="both"/>
            </w:pPr>
            <w:r w:rsidRPr="00A56D2E">
              <w:t>1 таблетка (10 мг)</w:t>
            </w:r>
          </w:p>
          <w:p w14:paraId="784990B3" w14:textId="77777777" w:rsidR="00DB4199" w:rsidRPr="00A56D2E" w:rsidRDefault="00DB4199" w:rsidP="00455D70">
            <w:pPr>
              <w:jc w:val="both"/>
            </w:pPr>
            <w:r w:rsidRPr="00A56D2E">
              <w:t>один раз в день</w:t>
            </w:r>
          </w:p>
        </w:tc>
      </w:tr>
      <w:tr w:rsidR="00DB4199" w:rsidRPr="00A56D2E" w14:paraId="7CF3242F" w14:textId="77777777" w:rsidTr="00E978F2">
        <w:tc>
          <w:tcPr>
            <w:tcW w:w="3119" w:type="dxa"/>
          </w:tcPr>
          <w:p w14:paraId="11C38DD6" w14:textId="77777777" w:rsidR="00DB4199" w:rsidRPr="00A56D2E" w:rsidRDefault="00B41816" w:rsidP="00455D70">
            <w:r w:rsidRPr="00B41816">
              <w:rPr>
                <w:color w:val="7030A0"/>
              </w:rPr>
              <w:t>Легкое</w:t>
            </w:r>
            <w:r>
              <w:t xml:space="preserve"> </w:t>
            </w:r>
            <w:r w:rsidR="00DB4199" w:rsidRPr="00A56D2E">
              <w:t>нарушение функции почек</w:t>
            </w:r>
          </w:p>
        </w:tc>
        <w:tc>
          <w:tcPr>
            <w:tcW w:w="2552" w:type="dxa"/>
          </w:tcPr>
          <w:p w14:paraId="1625166C" w14:textId="77777777" w:rsidR="00DB4199" w:rsidRPr="00A56D2E" w:rsidRDefault="00DB4199" w:rsidP="00455D70">
            <w:pPr>
              <w:jc w:val="both"/>
            </w:pPr>
            <w:r w:rsidRPr="00A56D2E">
              <w:t>50-79</w:t>
            </w:r>
          </w:p>
        </w:tc>
        <w:tc>
          <w:tcPr>
            <w:tcW w:w="3573" w:type="dxa"/>
          </w:tcPr>
          <w:p w14:paraId="27D9F23F" w14:textId="77777777" w:rsidR="00DB4199" w:rsidRPr="00A56D2E" w:rsidRDefault="00DB4199" w:rsidP="00455D70">
            <w:pPr>
              <w:jc w:val="both"/>
            </w:pPr>
            <w:r w:rsidRPr="00A56D2E">
              <w:t xml:space="preserve">1 таблетка (10 мг) </w:t>
            </w:r>
          </w:p>
          <w:p w14:paraId="6F2F1986" w14:textId="77777777" w:rsidR="00DB4199" w:rsidRPr="00A56D2E" w:rsidRDefault="00DB4199" w:rsidP="00455D70">
            <w:pPr>
              <w:jc w:val="both"/>
            </w:pPr>
            <w:r w:rsidRPr="00A56D2E">
              <w:t>один раз в день</w:t>
            </w:r>
          </w:p>
        </w:tc>
      </w:tr>
      <w:tr w:rsidR="00DB4199" w:rsidRPr="00A56D2E" w14:paraId="0268FDEB" w14:textId="77777777" w:rsidTr="00E978F2">
        <w:tc>
          <w:tcPr>
            <w:tcW w:w="3119" w:type="dxa"/>
          </w:tcPr>
          <w:p w14:paraId="16C01EAE" w14:textId="77777777" w:rsidR="00DB4199" w:rsidRPr="00A56D2E" w:rsidRDefault="00DB4199" w:rsidP="00455D70">
            <w:r w:rsidRPr="00A56D2E">
              <w:t>Нарушение функции почек средней степени</w:t>
            </w:r>
          </w:p>
        </w:tc>
        <w:tc>
          <w:tcPr>
            <w:tcW w:w="2552" w:type="dxa"/>
          </w:tcPr>
          <w:p w14:paraId="6365B993" w14:textId="77777777" w:rsidR="00DB4199" w:rsidRPr="00A56D2E" w:rsidRDefault="00DB4199" w:rsidP="00455D70">
            <w:pPr>
              <w:jc w:val="both"/>
            </w:pPr>
            <w:r w:rsidRPr="00A56D2E">
              <w:t>30-49</w:t>
            </w:r>
          </w:p>
        </w:tc>
        <w:tc>
          <w:tcPr>
            <w:tcW w:w="3573" w:type="dxa"/>
          </w:tcPr>
          <w:p w14:paraId="508D175D" w14:textId="77777777" w:rsidR="00DB4199" w:rsidRPr="00A56D2E" w:rsidRDefault="00DB4199" w:rsidP="00455D70">
            <w:pPr>
              <w:jc w:val="both"/>
            </w:pPr>
            <w:r w:rsidRPr="00A56D2E">
              <w:t xml:space="preserve">½ таблетки (5 мг) </w:t>
            </w:r>
          </w:p>
          <w:p w14:paraId="4FC63841" w14:textId="77777777" w:rsidR="00DB4199" w:rsidRPr="00A56D2E" w:rsidRDefault="00DB4199" w:rsidP="00455D70">
            <w:pPr>
              <w:jc w:val="both"/>
            </w:pPr>
            <w:r w:rsidRPr="00A56D2E">
              <w:t>один раз в день</w:t>
            </w:r>
          </w:p>
        </w:tc>
      </w:tr>
      <w:tr w:rsidR="00DB4199" w:rsidRPr="00A56D2E" w14:paraId="5B8C4EEA" w14:textId="77777777" w:rsidTr="00E978F2">
        <w:tc>
          <w:tcPr>
            <w:tcW w:w="3119" w:type="dxa"/>
          </w:tcPr>
          <w:p w14:paraId="10E1CDDB" w14:textId="77777777" w:rsidR="00DB4199" w:rsidRPr="00A56D2E" w:rsidRDefault="00DB4199" w:rsidP="00455D70">
            <w:r w:rsidRPr="00A56D2E">
              <w:t>Тяж</w:t>
            </w:r>
            <w:r w:rsidR="00A37B0E" w:rsidRPr="00A37B0E">
              <w:rPr>
                <w:color w:val="FF0000"/>
              </w:rPr>
              <w:t>е</w:t>
            </w:r>
            <w:r w:rsidRPr="00A56D2E">
              <w:t>лое нарушение функции почек</w:t>
            </w:r>
          </w:p>
        </w:tc>
        <w:tc>
          <w:tcPr>
            <w:tcW w:w="2552" w:type="dxa"/>
          </w:tcPr>
          <w:p w14:paraId="41A307DA" w14:textId="77777777" w:rsidR="00DB4199" w:rsidRPr="00A56D2E" w:rsidRDefault="00DB4199" w:rsidP="00455D70">
            <w:pPr>
              <w:jc w:val="both"/>
            </w:pPr>
            <w:r w:rsidRPr="00A56D2E">
              <w:t>10-</w:t>
            </w:r>
            <w:r w:rsidR="00FF59FF" w:rsidRPr="00FF59FF">
              <w:rPr>
                <w:color w:val="7030A0"/>
              </w:rPr>
              <w:t>29</w:t>
            </w:r>
          </w:p>
        </w:tc>
        <w:tc>
          <w:tcPr>
            <w:tcW w:w="3573" w:type="dxa"/>
          </w:tcPr>
          <w:p w14:paraId="26711701" w14:textId="77777777" w:rsidR="00DB4199" w:rsidRPr="00A56D2E" w:rsidRDefault="00DB4199" w:rsidP="00455D70">
            <w:pPr>
              <w:jc w:val="both"/>
            </w:pPr>
            <w:r w:rsidRPr="00A56D2E">
              <w:t>½ (5 мг) один раз в два дня</w:t>
            </w:r>
          </w:p>
        </w:tc>
      </w:tr>
      <w:tr w:rsidR="00DB4199" w:rsidRPr="00A56D2E" w14:paraId="7812B7A2" w14:textId="77777777" w:rsidTr="00E978F2">
        <w:tc>
          <w:tcPr>
            <w:tcW w:w="3119" w:type="dxa"/>
          </w:tcPr>
          <w:p w14:paraId="30BC40C6" w14:textId="77777777" w:rsidR="00DB4199" w:rsidRPr="00A56D2E" w:rsidRDefault="00DB4199" w:rsidP="00455D70">
            <w:r w:rsidRPr="00A56D2E">
              <w:t>Почечная недостаточность, диализ</w:t>
            </w:r>
          </w:p>
        </w:tc>
        <w:tc>
          <w:tcPr>
            <w:tcW w:w="2552" w:type="dxa"/>
          </w:tcPr>
          <w:p w14:paraId="410DB6A2" w14:textId="77777777" w:rsidR="00DB4199" w:rsidRPr="00A56D2E" w:rsidRDefault="00DB4199" w:rsidP="00455D70">
            <w:pPr>
              <w:jc w:val="both"/>
            </w:pPr>
            <w:r w:rsidRPr="00A56D2E">
              <w:t>˂10</w:t>
            </w:r>
          </w:p>
        </w:tc>
        <w:tc>
          <w:tcPr>
            <w:tcW w:w="3573" w:type="dxa"/>
          </w:tcPr>
          <w:p w14:paraId="4624425D" w14:textId="77777777" w:rsidR="00DB4199" w:rsidRPr="00A56D2E" w:rsidRDefault="00DB4199" w:rsidP="00455D70">
            <w:pPr>
              <w:jc w:val="both"/>
            </w:pPr>
            <w:r w:rsidRPr="00A56D2E">
              <w:t>Противопоказано</w:t>
            </w:r>
          </w:p>
        </w:tc>
      </w:tr>
    </w:tbl>
    <w:p w14:paraId="011BB77E" w14:textId="77777777" w:rsidR="00DB4199" w:rsidRPr="00A56D2E" w:rsidRDefault="00DB4199" w:rsidP="003E50E6">
      <w:pPr>
        <w:spacing w:before="120"/>
        <w:jc w:val="both"/>
      </w:pPr>
      <w:r w:rsidRPr="00A56D2E">
        <w:rPr>
          <w:i/>
        </w:rPr>
        <w:t>Детям с нарушениями функции почек</w:t>
      </w:r>
      <w:r w:rsidRPr="00A56D2E">
        <w:t xml:space="preserve"> дозу следует подбирать индивидуально, с уч</w:t>
      </w:r>
      <w:r w:rsidR="00A37B0E" w:rsidRPr="00A37B0E">
        <w:rPr>
          <w:color w:val="FF0000"/>
        </w:rPr>
        <w:t>е</w:t>
      </w:r>
      <w:r w:rsidRPr="00A56D2E">
        <w:t>том почечного клиренса, а также возраста и массы тела пациента.</w:t>
      </w:r>
    </w:p>
    <w:p w14:paraId="1F5B1725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Пациенты с нарушениями функции печени</w:t>
      </w:r>
    </w:p>
    <w:p w14:paraId="0493AD07" w14:textId="77777777" w:rsidR="00DB4199" w:rsidRPr="00A56D2E" w:rsidRDefault="00DB4199" w:rsidP="001B5AE8">
      <w:pPr>
        <w:jc w:val="both"/>
      </w:pPr>
      <w:r w:rsidRPr="00A56D2E">
        <w:t>Пациентам, имеющим только нарушения функции печени, нет необходимости в коррекции дозы.</w:t>
      </w:r>
    </w:p>
    <w:p w14:paraId="3061A891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Пациенты с нарушениями функции печени и почек</w:t>
      </w:r>
    </w:p>
    <w:p w14:paraId="2D8C9BA8" w14:textId="77777777" w:rsidR="00DB4199" w:rsidRPr="00A56D2E" w:rsidRDefault="00DB4199" w:rsidP="003E50E6">
      <w:pPr>
        <w:jc w:val="both"/>
        <w:rPr>
          <w:i/>
        </w:rPr>
      </w:pPr>
      <w:r w:rsidRPr="00A56D2E">
        <w:t>Рекомендуется коррекция дозы (см. раздел Пациенты с нарушениями функции почек</w:t>
      </w:r>
      <w:r w:rsidRPr="00A56D2E">
        <w:rPr>
          <w:i/>
        </w:rPr>
        <w:t>).</w:t>
      </w:r>
    </w:p>
    <w:p w14:paraId="063C371E" w14:textId="77777777" w:rsidR="00DB4199" w:rsidRPr="00A56D2E" w:rsidRDefault="00DB4199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t>Способ применения</w:t>
      </w:r>
    </w:p>
    <w:p w14:paraId="4F1B22C5" w14:textId="77777777" w:rsidR="00DB4199" w:rsidRPr="00A56D2E" w:rsidRDefault="00DB4199" w:rsidP="003E50E6">
      <w:pPr>
        <w:jc w:val="both"/>
      </w:pPr>
      <w:r w:rsidRPr="00A56D2E">
        <w:t>Для при</w:t>
      </w:r>
      <w:r w:rsidR="00A37B0E">
        <w:rPr>
          <w:color w:val="FF0000"/>
        </w:rPr>
        <w:t>е</w:t>
      </w:r>
      <w:r w:rsidRPr="00A56D2E">
        <w:t>ма внутрь.</w:t>
      </w:r>
    </w:p>
    <w:p w14:paraId="5F11CFD8" w14:textId="77777777" w:rsidR="00DB4199" w:rsidRPr="00A56D2E" w:rsidRDefault="00DB4199" w:rsidP="001B5AE8">
      <w:pPr>
        <w:jc w:val="both"/>
      </w:pPr>
      <w:r w:rsidRPr="00A56D2E">
        <w:t>Таблетки следует принимать, запивая стаканом жидкости, вне зависимости от приема пищи.</w:t>
      </w:r>
    </w:p>
    <w:p w14:paraId="495F85C2" w14:textId="77777777" w:rsidR="00DB4199" w:rsidRPr="00A56D2E" w:rsidRDefault="00DB4199" w:rsidP="001B5AE8">
      <w:pPr>
        <w:jc w:val="both"/>
      </w:pPr>
    </w:p>
    <w:p w14:paraId="709B39B7" w14:textId="77777777" w:rsidR="00DB4199" w:rsidRPr="00A56D2E" w:rsidRDefault="00DB4199" w:rsidP="00832886">
      <w:pPr>
        <w:tabs>
          <w:tab w:val="left" w:pos="426"/>
        </w:tabs>
        <w:jc w:val="both"/>
        <w:rPr>
          <w:b/>
          <w:bCs/>
        </w:rPr>
      </w:pPr>
      <w:r w:rsidRPr="00A56D2E">
        <w:rPr>
          <w:b/>
        </w:rPr>
        <w:t xml:space="preserve">4.3 </w:t>
      </w:r>
      <w:r w:rsidR="00832886">
        <w:rPr>
          <w:b/>
        </w:rPr>
        <w:tab/>
      </w:r>
      <w:r w:rsidRPr="00A56D2E">
        <w:rPr>
          <w:b/>
        </w:rPr>
        <w:t>Противо</w:t>
      </w:r>
      <w:r w:rsidR="00374057" w:rsidRPr="00A56D2E">
        <w:rPr>
          <w:b/>
        </w:rPr>
        <w:t>по</w:t>
      </w:r>
      <w:r w:rsidRPr="00A56D2E">
        <w:rPr>
          <w:b/>
        </w:rPr>
        <w:t xml:space="preserve">казания </w:t>
      </w:r>
    </w:p>
    <w:p w14:paraId="0E02244F" w14:textId="77777777" w:rsidR="00DB4199" w:rsidRPr="00A56D2E" w:rsidRDefault="00DB4199" w:rsidP="00556385">
      <w:pPr>
        <w:pStyle w:val="af"/>
        <w:numPr>
          <w:ilvl w:val="0"/>
          <w:numId w:val="18"/>
        </w:numPr>
        <w:spacing w:before="120"/>
        <w:ind w:left="425" w:hanging="357"/>
        <w:jc w:val="both"/>
      </w:pPr>
      <w:r w:rsidRPr="00A56D2E">
        <w:t xml:space="preserve">Повышенная чувствительность к </w:t>
      </w:r>
      <w:r w:rsidR="00A45636" w:rsidRPr="00A56D2E">
        <w:t xml:space="preserve">действующему </w:t>
      </w:r>
      <w:r w:rsidRPr="00A56D2E">
        <w:t xml:space="preserve">веществу, </w:t>
      </w:r>
      <w:r w:rsidR="00A45636" w:rsidRPr="00A56D2E">
        <w:t xml:space="preserve">к </w:t>
      </w:r>
      <w:proofErr w:type="spellStart"/>
      <w:r w:rsidR="00A45636" w:rsidRPr="00A56D2E">
        <w:t>гидроксизину</w:t>
      </w:r>
      <w:proofErr w:type="spellEnd"/>
      <w:r w:rsidR="00A45636" w:rsidRPr="00A56D2E">
        <w:t xml:space="preserve"> или к производным </w:t>
      </w:r>
      <w:proofErr w:type="spellStart"/>
      <w:r w:rsidR="00A45636" w:rsidRPr="00A56D2E">
        <w:t>пиперазина</w:t>
      </w:r>
      <w:proofErr w:type="spellEnd"/>
      <w:r w:rsidR="00A45636" w:rsidRPr="00A56D2E">
        <w:t xml:space="preserve">, а также к </w:t>
      </w:r>
      <w:r w:rsidRPr="00A56D2E">
        <w:t xml:space="preserve">любому другому </w:t>
      </w:r>
      <w:r w:rsidR="00374057" w:rsidRPr="00A56D2E">
        <w:t>из вспомогательных веществ, приведенных</w:t>
      </w:r>
      <w:r w:rsidRPr="00A56D2E">
        <w:t xml:space="preserve"> в разделе 6.1</w:t>
      </w:r>
      <w:r w:rsidR="005A29FC" w:rsidRPr="005A29FC">
        <w:rPr>
          <w:color w:val="FF0000"/>
        </w:rPr>
        <w:t>.</w:t>
      </w:r>
      <w:r w:rsidRPr="00A56D2E">
        <w:t xml:space="preserve"> </w:t>
      </w:r>
    </w:p>
    <w:p w14:paraId="0337A3E0" w14:textId="77777777" w:rsidR="00DB4199" w:rsidRPr="00B92281" w:rsidRDefault="00DB4199" w:rsidP="00556385">
      <w:pPr>
        <w:pStyle w:val="af"/>
        <w:numPr>
          <w:ilvl w:val="0"/>
          <w:numId w:val="18"/>
        </w:numPr>
        <w:ind w:left="426"/>
        <w:jc w:val="both"/>
      </w:pPr>
      <w:r w:rsidRPr="00B92281">
        <w:lastRenderedPageBreak/>
        <w:t>Тяж</w:t>
      </w:r>
      <w:r w:rsidR="00A37B0E" w:rsidRPr="00B92281">
        <w:rPr>
          <w:color w:val="FF0000"/>
        </w:rPr>
        <w:t>е</w:t>
      </w:r>
      <w:r w:rsidRPr="00B92281">
        <w:t>лое нарушение функции почек, если клиренс креатинина ˂ 10 мл/мин</w:t>
      </w:r>
      <w:r w:rsidR="005A29FC" w:rsidRPr="00B92281">
        <w:rPr>
          <w:color w:val="FF0000"/>
        </w:rPr>
        <w:t>.</w:t>
      </w:r>
    </w:p>
    <w:p w14:paraId="08966C32" w14:textId="77777777" w:rsidR="00DB4199" w:rsidRPr="00B92281" w:rsidRDefault="00DB4199" w:rsidP="00556385">
      <w:pPr>
        <w:pStyle w:val="af"/>
        <w:numPr>
          <w:ilvl w:val="0"/>
          <w:numId w:val="18"/>
        </w:numPr>
        <w:ind w:left="426"/>
        <w:jc w:val="both"/>
      </w:pPr>
      <w:r w:rsidRPr="00B92281">
        <w:t xml:space="preserve">Так как препарат </w:t>
      </w:r>
      <w:proofErr w:type="spellStart"/>
      <w:r w:rsidR="00A043E1" w:rsidRPr="00B92281">
        <w:rPr>
          <w:bCs/>
        </w:rPr>
        <w:t>Парлазин</w:t>
      </w:r>
      <w:proofErr w:type="spellEnd"/>
      <w:r w:rsidR="005A29FC" w:rsidRPr="00B92281">
        <w:rPr>
          <w:bCs/>
          <w:color w:val="FF0000"/>
          <w:vertAlign w:val="superscript"/>
        </w:rPr>
        <w:t>®</w:t>
      </w:r>
      <w:r w:rsidR="00073F9B" w:rsidRPr="00B92281">
        <w:t xml:space="preserve"> </w:t>
      </w:r>
      <w:r w:rsidR="00B92281" w:rsidRPr="00B92281">
        <w:rPr>
          <w:color w:val="FF0000"/>
        </w:rPr>
        <w:t>таблетки, покрытые оболочкой 10 мг,</w:t>
      </w:r>
      <w:r w:rsidR="005A29FC" w:rsidRPr="00B92281">
        <w:t xml:space="preserve"> содержит</w:t>
      </w:r>
      <w:r w:rsidRPr="00B92281">
        <w:t xml:space="preserve"> лактоз</w:t>
      </w:r>
      <w:r w:rsidR="00B92281" w:rsidRPr="00B92281">
        <w:t>ы</w:t>
      </w:r>
      <w:r w:rsidRPr="00B92281">
        <w:t xml:space="preserve"> моногидрат, то его не следует назначать пациентам с редкими наследственными нарушениями толерантности к галактозе, наследственным дефицитом </w:t>
      </w:r>
      <w:proofErr w:type="spellStart"/>
      <w:r w:rsidRPr="00B92281">
        <w:t>лактазы</w:t>
      </w:r>
      <w:proofErr w:type="spellEnd"/>
      <w:r w:rsidRPr="00B92281">
        <w:t xml:space="preserve"> или синдромом </w:t>
      </w:r>
      <w:proofErr w:type="spellStart"/>
      <w:r w:rsidR="00A45636" w:rsidRPr="00B92281">
        <w:t>мальабсорбции</w:t>
      </w:r>
      <w:proofErr w:type="spellEnd"/>
      <w:r w:rsidR="00A45636" w:rsidRPr="00B92281">
        <w:t xml:space="preserve"> </w:t>
      </w:r>
      <w:r w:rsidRPr="00B92281">
        <w:t>глюкозы-галактозы</w:t>
      </w:r>
      <w:r w:rsidR="005A29FC" w:rsidRPr="00B92281">
        <w:rPr>
          <w:color w:val="FF0000"/>
        </w:rPr>
        <w:t>.</w:t>
      </w:r>
    </w:p>
    <w:p w14:paraId="0DC166E7" w14:textId="77777777" w:rsidR="00832886" w:rsidRDefault="00832886" w:rsidP="00832886">
      <w:pPr>
        <w:tabs>
          <w:tab w:val="left" w:pos="426"/>
        </w:tabs>
        <w:jc w:val="both"/>
      </w:pPr>
    </w:p>
    <w:p w14:paraId="4F9560E2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4.4. </w:t>
      </w:r>
      <w:r w:rsidR="00832886">
        <w:rPr>
          <w:b/>
        </w:rPr>
        <w:tab/>
      </w:r>
      <w:r w:rsidR="002F6FD4" w:rsidRPr="00A56D2E">
        <w:rPr>
          <w:b/>
        </w:rPr>
        <w:t>М</w:t>
      </w:r>
      <w:r w:rsidRPr="00A56D2E">
        <w:rPr>
          <w:b/>
        </w:rPr>
        <w:t xml:space="preserve">еры предосторожности </w:t>
      </w:r>
    </w:p>
    <w:p w14:paraId="30B298CE" w14:textId="77777777" w:rsidR="00DB4199" w:rsidRPr="00A56D2E" w:rsidRDefault="00DB4199" w:rsidP="00832886">
      <w:pPr>
        <w:pStyle w:val="af"/>
        <w:numPr>
          <w:ilvl w:val="0"/>
          <w:numId w:val="17"/>
        </w:numPr>
        <w:spacing w:before="120"/>
        <w:ind w:left="426"/>
        <w:jc w:val="both"/>
      </w:pPr>
      <w:r w:rsidRPr="00A56D2E">
        <w:t>В терапевтически</w:t>
      </w:r>
      <w:r w:rsidR="005A29FC" w:rsidRPr="005A29FC">
        <w:rPr>
          <w:color w:val="FF0000"/>
        </w:rPr>
        <w:t>х</w:t>
      </w:r>
      <w:r w:rsidRPr="00A56D2E">
        <w:t xml:space="preserve"> дозах не было выявлено клинически значимого взаимодействия с алкоголем (для уровня алкоголя в крови 0.5 г/л), тем не менее</w:t>
      </w:r>
      <w:r w:rsidR="005A29FC" w:rsidRPr="005A29FC">
        <w:rPr>
          <w:color w:val="FF0000"/>
        </w:rPr>
        <w:t>,</w:t>
      </w:r>
      <w:r w:rsidRPr="00A56D2E">
        <w:t xml:space="preserve"> следует соблюдать осторожность</w:t>
      </w:r>
      <w:r w:rsidRPr="005A29FC">
        <w:rPr>
          <w:color w:val="FF0000"/>
        </w:rPr>
        <w:t xml:space="preserve"> </w:t>
      </w:r>
      <w:r w:rsidR="005A29FC" w:rsidRPr="005A29FC">
        <w:rPr>
          <w:color w:val="FF0000"/>
        </w:rPr>
        <w:t>при совместном приеме</w:t>
      </w:r>
      <w:r w:rsidR="005A29FC">
        <w:rPr>
          <w:color w:val="FF0000"/>
        </w:rPr>
        <w:t xml:space="preserve"> </w:t>
      </w:r>
      <w:r w:rsidR="005A29FC" w:rsidRPr="005A29FC">
        <w:t xml:space="preserve">препарата </w:t>
      </w:r>
      <w:r w:rsidRPr="00A56D2E">
        <w:t>с алкоголем.</w:t>
      </w:r>
    </w:p>
    <w:p w14:paraId="4E9CD8C6" w14:textId="77777777" w:rsidR="00E90BD5" w:rsidRPr="00832886" w:rsidRDefault="00E90BD5" w:rsidP="00832886">
      <w:pPr>
        <w:pStyle w:val="af"/>
        <w:numPr>
          <w:ilvl w:val="0"/>
          <w:numId w:val="17"/>
        </w:numPr>
        <w:ind w:left="426"/>
        <w:jc w:val="both"/>
        <w:rPr>
          <w:bCs/>
        </w:rPr>
      </w:pPr>
      <w:r w:rsidRPr="00832886">
        <w:rPr>
          <w:bCs/>
        </w:rPr>
        <w:t xml:space="preserve">Следует применять с осторожностью у пациентов, склонных к задержке мочи (например, с поражением продолговатого мозга, гиперплазией простаты), так как </w:t>
      </w:r>
      <w:proofErr w:type="spellStart"/>
      <w:r w:rsidRPr="00832886">
        <w:rPr>
          <w:bCs/>
        </w:rPr>
        <w:t>цетиризин</w:t>
      </w:r>
      <w:proofErr w:type="spellEnd"/>
      <w:r w:rsidRPr="00832886">
        <w:rPr>
          <w:bCs/>
        </w:rPr>
        <w:t xml:space="preserve"> может повысить риск задержки мочи.</w:t>
      </w:r>
    </w:p>
    <w:p w14:paraId="7234F7C6" w14:textId="77777777" w:rsidR="00DB4199" w:rsidRPr="00A56D2E" w:rsidRDefault="00DB4199" w:rsidP="00832886">
      <w:pPr>
        <w:pStyle w:val="af"/>
        <w:numPr>
          <w:ilvl w:val="0"/>
          <w:numId w:val="17"/>
        </w:numPr>
        <w:ind w:left="426"/>
        <w:jc w:val="both"/>
      </w:pPr>
      <w:r w:rsidRPr="00A56D2E">
        <w:t>Следует применять с осторожностью у больных эпилепсией и лиц с риском развития судорог</w:t>
      </w:r>
      <w:r w:rsidR="00374057" w:rsidRPr="00A56D2E">
        <w:t>.</w:t>
      </w:r>
    </w:p>
    <w:p w14:paraId="75124A95" w14:textId="77777777" w:rsidR="00E90BD5" w:rsidRPr="00A56D2E" w:rsidRDefault="005A29FC" w:rsidP="00832886">
      <w:pPr>
        <w:numPr>
          <w:ilvl w:val="0"/>
          <w:numId w:val="15"/>
        </w:numPr>
        <w:ind w:left="426" w:hanging="357"/>
        <w:jc w:val="both"/>
      </w:pPr>
      <w:r w:rsidRPr="00A56D2E">
        <w:t>Также</w:t>
      </w:r>
      <w:r w:rsidR="00A06C5C" w:rsidRPr="00A06C5C">
        <w:rPr>
          <w:color w:val="FF0000"/>
        </w:rPr>
        <w:t>,</w:t>
      </w:r>
      <w:r w:rsidR="00E90BD5" w:rsidRPr="00A56D2E">
        <w:t xml:space="preserve"> как и в случае применения других антиг</w:t>
      </w:r>
      <w:r w:rsidR="00E90BD5" w:rsidRPr="00A37B0E">
        <w:rPr>
          <w:color w:val="FF0000"/>
        </w:rPr>
        <w:t>истамин</w:t>
      </w:r>
      <w:r w:rsidR="00A37B0E" w:rsidRPr="00A37B0E">
        <w:rPr>
          <w:color w:val="FF0000"/>
        </w:rPr>
        <w:t>н</w:t>
      </w:r>
      <w:r w:rsidR="00E90BD5" w:rsidRPr="00A56D2E">
        <w:t>ых препаратов, при</w:t>
      </w:r>
      <w:r w:rsidR="00A37B0E" w:rsidRPr="00A37B0E">
        <w:rPr>
          <w:color w:val="FF0000"/>
        </w:rPr>
        <w:t>е</w:t>
      </w:r>
      <w:r w:rsidR="00E90BD5" w:rsidRPr="00A56D2E">
        <w:t xml:space="preserve">м препарата следует прекратить, по крайней мере, за 3 дня до проведения аллергологического кожного </w:t>
      </w:r>
      <w:proofErr w:type="spellStart"/>
      <w:r w:rsidR="00E90BD5" w:rsidRPr="00A56D2E">
        <w:t>прик</w:t>
      </w:r>
      <w:proofErr w:type="spellEnd"/>
      <w:r w:rsidR="00E90BD5" w:rsidRPr="00A56D2E">
        <w:t xml:space="preserve">-теста </w:t>
      </w:r>
      <w:r w:rsidR="00073F9B" w:rsidRPr="00073F9B">
        <w:rPr>
          <w:color w:val="FF0000"/>
        </w:rPr>
        <w:t>во избежание</w:t>
      </w:r>
      <w:r w:rsidR="00E90BD5" w:rsidRPr="00073F9B">
        <w:rPr>
          <w:color w:val="FF0000"/>
        </w:rPr>
        <w:t xml:space="preserve"> </w:t>
      </w:r>
      <w:r w:rsidR="00E90BD5" w:rsidRPr="00A56D2E">
        <w:t>ложноотрицательных результатов.</w:t>
      </w:r>
    </w:p>
    <w:p w14:paraId="59C42672" w14:textId="77777777" w:rsidR="00E90BD5" w:rsidRPr="00A56D2E" w:rsidRDefault="00E90BD5" w:rsidP="00832886">
      <w:pPr>
        <w:numPr>
          <w:ilvl w:val="0"/>
          <w:numId w:val="15"/>
        </w:numPr>
        <w:ind w:left="426" w:hanging="357"/>
        <w:jc w:val="both"/>
      </w:pPr>
      <w:r w:rsidRPr="00A56D2E">
        <w:t xml:space="preserve">При отмене </w:t>
      </w:r>
      <w:proofErr w:type="spellStart"/>
      <w:r w:rsidRPr="00A56D2E">
        <w:t>цетиризина</w:t>
      </w:r>
      <w:proofErr w:type="spellEnd"/>
      <w:r w:rsidRPr="00A56D2E">
        <w:t xml:space="preserve"> может возникнуть зуд и/или крапивница даже при отсутствии таких симптомов до начала приема </w:t>
      </w:r>
      <w:r w:rsidRPr="00A56D2E">
        <w:rPr>
          <w:spacing w:val="-3"/>
        </w:rPr>
        <w:t>препарат</w:t>
      </w:r>
      <w:r w:rsidRPr="00A56D2E">
        <w:t xml:space="preserve">а. В некоторых случаях симптомы могут быть достаточно тяжелыми, требующими возобновления лечения. При возобновлении лечения эти </w:t>
      </w:r>
      <w:r w:rsidRPr="0063333A">
        <w:rPr>
          <w:color w:val="00B050"/>
        </w:rPr>
        <w:t>симптом</w:t>
      </w:r>
      <w:r w:rsidR="0063333A" w:rsidRPr="0063333A">
        <w:rPr>
          <w:color w:val="00B050"/>
        </w:rPr>
        <w:t>ы</w:t>
      </w:r>
      <w:r w:rsidRPr="00A56D2E">
        <w:t xml:space="preserve"> исчезают. </w:t>
      </w:r>
    </w:p>
    <w:p w14:paraId="5503C80B" w14:textId="77777777" w:rsidR="00DB4199" w:rsidRPr="00A56D2E" w:rsidRDefault="00DB4199" w:rsidP="00832886">
      <w:pPr>
        <w:numPr>
          <w:ilvl w:val="0"/>
          <w:numId w:val="15"/>
        </w:numPr>
        <w:ind w:left="426" w:hanging="357"/>
        <w:jc w:val="both"/>
      </w:pPr>
      <w:r w:rsidRPr="00A56D2E">
        <w:t xml:space="preserve">Препарат </w:t>
      </w:r>
      <w:proofErr w:type="spellStart"/>
      <w:r w:rsidRPr="00A56D2E">
        <w:t>Парлазин</w:t>
      </w:r>
      <w:proofErr w:type="spellEnd"/>
      <w:r w:rsidR="00E90BD5" w:rsidRPr="00A56D2E">
        <w:rPr>
          <w:bCs/>
          <w:vertAlign w:val="superscript"/>
        </w:rPr>
        <w:t>®</w:t>
      </w:r>
      <w:r w:rsidRPr="00A56D2E">
        <w:t xml:space="preserve"> таблетки</w:t>
      </w:r>
      <w:r w:rsidR="00223257" w:rsidRPr="00A56D2E">
        <w:t>,</w:t>
      </w:r>
      <w:r w:rsidRPr="00A56D2E">
        <w:t xml:space="preserve"> покрытые оболочкой </w:t>
      </w:r>
      <w:r w:rsidR="00223257" w:rsidRPr="00A56D2E">
        <w:t>10 мг</w:t>
      </w:r>
      <w:r w:rsidR="00A06C5C" w:rsidRPr="00A06C5C">
        <w:rPr>
          <w:color w:val="FF0000"/>
        </w:rPr>
        <w:t>,</w:t>
      </w:r>
      <w:r w:rsidR="00223257" w:rsidRPr="00A56D2E">
        <w:t xml:space="preserve"> </w:t>
      </w:r>
      <w:r w:rsidRPr="00A56D2E">
        <w:t xml:space="preserve">содержат краситель </w:t>
      </w:r>
      <w:proofErr w:type="spellStart"/>
      <w:r w:rsidR="00223257" w:rsidRPr="00A56D2E">
        <w:t>сансет</w:t>
      </w:r>
      <w:proofErr w:type="spellEnd"/>
      <w:r w:rsidR="00223257" w:rsidRPr="00A56D2E">
        <w:t xml:space="preserve"> желтый C.I.15985 (E110)</w:t>
      </w:r>
      <w:r w:rsidRPr="00A56D2E">
        <w:t>, который может вызвать аллергические реакции.</w:t>
      </w:r>
    </w:p>
    <w:p w14:paraId="0D1E25AA" w14:textId="77777777" w:rsidR="00DB4199" w:rsidRPr="00A56D2E" w:rsidRDefault="00DB4199" w:rsidP="001B5AE8">
      <w:pPr>
        <w:spacing w:before="120"/>
        <w:jc w:val="both"/>
        <w:rPr>
          <w:i/>
          <w:u w:val="single"/>
        </w:rPr>
      </w:pPr>
      <w:r w:rsidRPr="00A56D2E">
        <w:rPr>
          <w:i/>
          <w:u w:val="single"/>
        </w:rPr>
        <w:t>Дети и подростки</w:t>
      </w:r>
    </w:p>
    <w:p w14:paraId="5897B22A" w14:textId="77777777" w:rsidR="00523F5E" w:rsidRDefault="00DB4199" w:rsidP="003E50E6">
      <w:pPr>
        <w:jc w:val="both"/>
      </w:pPr>
      <w:r w:rsidRPr="00A56D2E">
        <w:t xml:space="preserve">- Применение таблеток, покрытых оболочкой, не рекомендуется у детей младше 6 лет, так как данная форма </w:t>
      </w:r>
      <w:r w:rsidRPr="00A56D2E">
        <w:rPr>
          <w:rFonts w:eastAsia="FreeSetLightC"/>
        </w:rPr>
        <w:t>препарат</w:t>
      </w:r>
      <w:r w:rsidRPr="00A56D2E">
        <w:t xml:space="preserve">а не позволяет проводить </w:t>
      </w:r>
      <w:r w:rsidRPr="00523F5E">
        <w:rPr>
          <w:color w:val="7030A0"/>
        </w:rPr>
        <w:t>адекватн</w:t>
      </w:r>
      <w:r w:rsidR="00523F5E" w:rsidRPr="00523F5E">
        <w:rPr>
          <w:color w:val="7030A0"/>
        </w:rPr>
        <w:t>ое</w:t>
      </w:r>
      <w:r w:rsidRPr="00523F5E">
        <w:rPr>
          <w:color w:val="7030A0"/>
        </w:rPr>
        <w:t xml:space="preserve"> дозиров</w:t>
      </w:r>
      <w:r w:rsidR="00523F5E" w:rsidRPr="00523F5E">
        <w:rPr>
          <w:color w:val="7030A0"/>
        </w:rPr>
        <w:t>ание</w:t>
      </w:r>
      <w:r w:rsidRPr="00523F5E">
        <w:rPr>
          <w:color w:val="7030A0"/>
        </w:rPr>
        <w:t>.</w:t>
      </w:r>
      <w:r w:rsidR="00E90BD5" w:rsidRPr="00523F5E">
        <w:rPr>
          <w:color w:val="7030A0"/>
        </w:rPr>
        <w:t xml:space="preserve"> </w:t>
      </w:r>
      <w:r w:rsidR="00E90BD5" w:rsidRPr="00A56D2E">
        <w:t xml:space="preserve">Для детей данной возрастной группы следует использовать </w:t>
      </w:r>
      <w:r w:rsidR="00523F5E" w:rsidRPr="00523F5E">
        <w:rPr>
          <w:color w:val="7030A0"/>
        </w:rPr>
        <w:t xml:space="preserve">препарат </w:t>
      </w:r>
      <w:proofErr w:type="spellStart"/>
      <w:r w:rsidR="00523F5E" w:rsidRPr="00523F5E">
        <w:rPr>
          <w:color w:val="7030A0"/>
        </w:rPr>
        <w:t>Парлазин</w:t>
      </w:r>
      <w:proofErr w:type="spellEnd"/>
      <w:r w:rsidR="00523F5E" w:rsidRPr="00523F5E">
        <w:rPr>
          <w:bCs/>
          <w:color w:val="7030A0"/>
          <w:vertAlign w:val="superscript"/>
        </w:rPr>
        <w:t>®</w:t>
      </w:r>
      <w:r w:rsidR="00523F5E" w:rsidRPr="00523F5E">
        <w:rPr>
          <w:bCs/>
          <w:color w:val="7030A0"/>
        </w:rPr>
        <w:t xml:space="preserve"> в форме капель для внутреннего применения</w:t>
      </w:r>
      <w:r w:rsidR="00523F5E">
        <w:rPr>
          <w:bCs/>
          <w:color w:val="7030A0"/>
        </w:rPr>
        <w:t>.</w:t>
      </w:r>
      <w:r w:rsidR="00523F5E" w:rsidRPr="00523F5E">
        <w:rPr>
          <w:color w:val="7030A0"/>
        </w:rPr>
        <w:t xml:space="preserve"> </w:t>
      </w:r>
    </w:p>
    <w:p w14:paraId="4E9AD311" w14:textId="77777777" w:rsidR="00DB4199" w:rsidRPr="00A56D2E" w:rsidRDefault="00DB4199" w:rsidP="003E50E6">
      <w:pPr>
        <w:jc w:val="both"/>
        <w:rPr>
          <w:bCs/>
        </w:rPr>
      </w:pPr>
      <w:r w:rsidRPr="00A56D2E">
        <w:t>-</w:t>
      </w:r>
      <w:r w:rsidRPr="00A56D2E">
        <w:rPr>
          <w:bCs/>
        </w:rPr>
        <w:t xml:space="preserve"> Эффективность и безопасность </w:t>
      </w:r>
      <w:proofErr w:type="spellStart"/>
      <w:r w:rsidRPr="00A56D2E">
        <w:rPr>
          <w:bCs/>
        </w:rPr>
        <w:t>цетиризина</w:t>
      </w:r>
      <w:proofErr w:type="spellEnd"/>
      <w:r w:rsidRPr="00A56D2E">
        <w:rPr>
          <w:bCs/>
        </w:rPr>
        <w:t xml:space="preserve"> у детей младше 2 лет не установлена.</w:t>
      </w:r>
    </w:p>
    <w:p w14:paraId="24A01CE7" w14:textId="77777777" w:rsidR="00DB4199" w:rsidRPr="00A56D2E" w:rsidRDefault="00DB4199" w:rsidP="00A67D67">
      <w:pPr>
        <w:jc w:val="both"/>
      </w:pPr>
    </w:p>
    <w:p w14:paraId="2D8188B6" w14:textId="77777777" w:rsidR="00B92281" w:rsidRPr="00026BE7" w:rsidRDefault="00DB4199" w:rsidP="00B92281">
      <w:pPr>
        <w:jc w:val="both"/>
        <w:rPr>
          <w:b/>
        </w:rPr>
      </w:pPr>
      <w:r w:rsidRPr="00A56D2E">
        <w:rPr>
          <w:b/>
        </w:rPr>
        <w:t xml:space="preserve">4.5. </w:t>
      </w:r>
      <w:r w:rsidR="00832886">
        <w:rPr>
          <w:b/>
        </w:rPr>
        <w:t xml:space="preserve"> </w:t>
      </w:r>
      <w:r w:rsidRPr="00A56D2E">
        <w:rPr>
          <w:b/>
        </w:rPr>
        <w:t xml:space="preserve">Взаимодействие с другими лекарственными </w:t>
      </w:r>
      <w:r w:rsidR="002F6FD4" w:rsidRPr="00A56D2E">
        <w:rPr>
          <w:rFonts w:eastAsia="FreeSetLightC"/>
          <w:b/>
        </w:rPr>
        <w:t>средствами</w:t>
      </w:r>
      <w:r w:rsidR="002F6FD4" w:rsidRPr="00A56D2E">
        <w:rPr>
          <w:b/>
        </w:rPr>
        <w:t xml:space="preserve"> </w:t>
      </w:r>
      <w:r w:rsidR="00B92281" w:rsidRPr="000826A2">
        <w:rPr>
          <w:b/>
        </w:rPr>
        <w:t>или пищевыми продуктами</w:t>
      </w:r>
    </w:p>
    <w:p w14:paraId="5D6669D5" w14:textId="77777777" w:rsidR="003C0FD8" w:rsidRPr="00A56D2E" w:rsidRDefault="006A67C4" w:rsidP="001B5AE8">
      <w:pPr>
        <w:spacing w:before="120"/>
        <w:jc w:val="both"/>
      </w:pPr>
      <w:r>
        <w:t>Н</w:t>
      </w:r>
      <w:r w:rsidR="00DB4199" w:rsidRPr="00A56D2E">
        <w:t xml:space="preserve">а основании фармакокинетики, </w:t>
      </w:r>
      <w:proofErr w:type="spellStart"/>
      <w:r w:rsidR="00DB4199" w:rsidRPr="00A56D2E">
        <w:t>фармакодинамики</w:t>
      </w:r>
      <w:proofErr w:type="spellEnd"/>
      <w:r w:rsidR="00DB4199" w:rsidRPr="00A56D2E">
        <w:t xml:space="preserve"> и профиля переносимости </w:t>
      </w:r>
      <w:r w:rsidR="00DB4199" w:rsidRPr="00A56D2E">
        <w:rPr>
          <w:rFonts w:eastAsia="FreeSetLightC"/>
        </w:rPr>
        <w:t>препарат</w:t>
      </w:r>
      <w:r w:rsidR="00DB4199" w:rsidRPr="00A56D2E">
        <w:t xml:space="preserve">а, не ожидаются взаимодействия этого </w:t>
      </w:r>
      <w:r w:rsidR="00DB4199" w:rsidRPr="00A56D2E">
        <w:rPr>
          <w:rFonts w:eastAsia="FreeSetLightC"/>
        </w:rPr>
        <w:t>препарат</w:t>
      </w:r>
      <w:r w:rsidR="00DB4199" w:rsidRPr="00A56D2E">
        <w:t xml:space="preserve">а с другими </w:t>
      </w:r>
      <w:r w:rsidR="00FF59FF" w:rsidRPr="00FF59FF">
        <w:rPr>
          <w:color w:val="7030A0"/>
        </w:rPr>
        <w:t>лекарственными</w:t>
      </w:r>
      <w:r w:rsidR="00DB4199" w:rsidRPr="00FF59FF">
        <w:rPr>
          <w:color w:val="7030A0"/>
        </w:rPr>
        <w:t xml:space="preserve"> </w:t>
      </w:r>
      <w:r w:rsidR="00DB4199" w:rsidRPr="00A56D2E">
        <w:t>средствами. В исследованиях на взаимодействие не наблюдалось ни фармакодинамических, ни выраженных фармакокинетических взаимодействий</w:t>
      </w:r>
      <w:r w:rsidR="00D153D4" w:rsidRPr="00A56D2E">
        <w:t>, в особенности</w:t>
      </w:r>
      <w:r w:rsidR="00374057" w:rsidRPr="00A56D2E">
        <w:t>,</w:t>
      </w:r>
      <w:r w:rsidR="00DB4199" w:rsidRPr="00A56D2E">
        <w:t xml:space="preserve"> с псевдоэфедрином</w:t>
      </w:r>
      <w:r w:rsidR="00D153D4" w:rsidRPr="00A56D2E">
        <w:t xml:space="preserve"> и</w:t>
      </w:r>
      <w:r w:rsidR="00DB4199" w:rsidRPr="00A56D2E">
        <w:t xml:space="preserve"> теофиллином (400 мг/день)</w:t>
      </w:r>
      <w:r w:rsidR="003C0FD8" w:rsidRPr="00A56D2E">
        <w:t>.</w:t>
      </w:r>
    </w:p>
    <w:p w14:paraId="3CF707AA" w14:textId="77777777" w:rsidR="003C0FD8" w:rsidRPr="00A56D2E" w:rsidRDefault="003C0FD8" w:rsidP="003C0FD8">
      <w:pPr>
        <w:spacing w:before="120"/>
        <w:jc w:val="both"/>
      </w:pPr>
      <w:r w:rsidRPr="00A56D2E">
        <w:t>При</w:t>
      </w:r>
      <w:r w:rsidR="00A37B0E" w:rsidRPr="00A37B0E">
        <w:rPr>
          <w:color w:val="FF0000"/>
        </w:rPr>
        <w:t>е</w:t>
      </w:r>
      <w:r w:rsidRPr="00A56D2E">
        <w:t xml:space="preserve">м пищи не уменьшает всасывание </w:t>
      </w:r>
      <w:proofErr w:type="spellStart"/>
      <w:r w:rsidRPr="00A56D2E">
        <w:t>цетиризина</w:t>
      </w:r>
      <w:proofErr w:type="spellEnd"/>
      <w:r w:rsidRPr="00A56D2E">
        <w:t>, хотя скорость всасывания понижается.</w:t>
      </w:r>
    </w:p>
    <w:p w14:paraId="6BEDE530" w14:textId="77777777" w:rsidR="003C0FD8" w:rsidRPr="00A56D2E" w:rsidRDefault="003C0FD8" w:rsidP="0034509A">
      <w:pPr>
        <w:spacing w:before="120"/>
        <w:jc w:val="both"/>
        <w:rPr>
          <w:u w:val="single"/>
        </w:rPr>
      </w:pPr>
      <w:r w:rsidRPr="00A56D2E">
        <w:rPr>
          <w:u w:val="single"/>
        </w:rPr>
        <w:t>Алкоголь</w:t>
      </w:r>
    </w:p>
    <w:p w14:paraId="207E59E0" w14:textId="77777777" w:rsidR="00DB4199" w:rsidRPr="00A56D2E" w:rsidRDefault="003C0FD8" w:rsidP="00374057">
      <w:pPr>
        <w:jc w:val="both"/>
      </w:pPr>
      <w:r w:rsidRPr="00A56D2E">
        <w:t xml:space="preserve">У чувствительных пациентов при совместном применении </w:t>
      </w:r>
      <w:proofErr w:type="spellStart"/>
      <w:r w:rsidRPr="00A56D2E">
        <w:t>цетиризина</w:t>
      </w:r>
      <w:proofErr w:type="spellEnd"/>
      <w:r w:rsidRPr="00A56D2E">
        <w:t xml:space="preserve"> с алкоголем или другими </w:t>
      </w:r>
      <w:r w:rsidRPr="00A56D2E">
        <w:rPr>
          <w:spacing w:val="-3"/>
        </w:rPr>
        <w:t>препарат</w:t>
      </w:r>
      <w:r w:rsidRPr="00A56D2E">
        <w:t>ами, тормозящими центральную нервную систему, может развиться дальнейшее понижение концентрации внимания и деятельности, несмотря на то</w:t>
      </w:r>
      <w:r w:rsidR="00374057" w:rsidRPr="00A56D2E">
        <w:t xml:space="preserve">, </w:t>
      </w:r>
      <w:r w:rsidRPr="00A56D2E">
        <w:t xml:space="preserve">что </w:t>
      </w:r>
      <w:proofErr w:type="spellStart"/>
      <w:r w:rsidRPr="00A56D2E">
        <w:t>цетиризин</w:t>
      </w:r>
      <w:proofErr w:type="spellEnd"/>
      <w:r w:rsidRPr="00A56D2E">
        <w:t xml:space="preserve"> не потенцирует эффект алкоголя (при уровне алкоголя в крови 0,5 г/л).</w:t>
      </w:r>
    </w:p>
    <w:p w14:paraId="2A4AAE88" w14:textId="77777777" w:rsidR="00A67D67" w:rsidRPr="00A56D2E" w:rsidRDefault="00A67D67" w:rsidP="00A67D67">
      <w:pPr>
        <w:jc w:val="both"/>
      </w:pPr>
    </w:p>
    <w:p w14:paraId="0E166E2D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>4.6. Фертильность, беременность и грудное вскармливание</w:t>
      </w:r>
    </w:p>
    <w:p w14:paraId="0D8D74DD" w14:textId="77777777" w:rsidR="00DB4199" w:rsidRPr="00A56D2E" w:rsidRDefault="00DB4199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t>Беременность</w:t>
      </w:r>
    </w:p>
    <w:p w14:paraId="06C904D3" w14:textId="77777777" w:rsidR="00DB4199" w:rsidRPr="00A56D2E" w:rsidRDefault="003C0FD8" w:rsidP="001B5AE8">
      <w:pPr>
        <w:jc w:val="both"/>
      </w:pPr>
      <w:proofErr w:type="spellStart"/>
      <w:r w:rsidRPr="00A56D2E">
        <w:lastRenderedPageBreak/>
        <w:t>Проспективные</w:t>
      </w:r>
      <w:proofErr w:type="spellEnd"/>
      <w:r w:rsidRPr="00A56D2E">
        <w:t xml:space="preserve"> данные о влиянии </w:t>
      </w:r>
      <w:proofErr w:type="spellStart"/>
      <w:r w:rsidRPr="00A56D2E">
        <w:t>цетиризина</w:t>
      </w:r>
      <w:proofErr w:type="spellEnd"/>
      <w:r w:rsidRPr="00A56D2E">
        <w:t xml:space="preserve"> на беременность не выявили повышенного токсического эффекта на организм матери, плода или эмбриона</w:t>
      </w:r>
      <w:r w:rsidR="00DB4199" w:rsidRPr="00A56D2E">
        <w:t>. Экспериментальные исс</w:t>
      </w:r>
      <w:r w:rsidR="00374057" w:rsidRPr="00A56D2E">
        <w:t>л</w:t>
      </w:r>
      <w:r w:rsidR="00DB4199" w:rsidRPr="00A56D2E">
        <w:t>едования на животных не выявили никаких прямых или косвенных эффектов, неблагоприятно влияющих на беременность, развитие эмбриона/плода, роды или развитие в постнатальном периоде (см. раздел 5.3</w:t>
      </w:r>
      <w:r w:rsidR="00A67D67" w:rsidRPr="00A56D2E">
        <w:t>).</w:t>
      </w:r>
    </w:p>
    <w:p w14:paraId="68CAD184" w14:textId="77777777" w:rsidR="00DB4199" w:rsidRPr="00A56D2E" w:rsidRDefault="003C0FD8" w:rsidP="00A67D67">
      <w:pPr>
        <w:jc w:val="both"/>
      </w:pPr>
      <w:r w:rsidRPr="00A56D2E">
        <w:t>Тем не менее, п</w:t>
      </w:r>
      <w:r w:rsidR="00DB4199" w:rsidRPr="00A56D2E">
        <w:t>ри беременности препарат следует назначать с осторожностью.</w:t>
      </w:r>
    </w:p>
    <w:p w14:paraId="47D49E01" w14:textId="77777777" w:rsidR="00DB4199" w:rsidRPr="00A56D2E" w:rsidRDefault="00DB4199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t>Грудное вскармливание</w:t>
      </w:r>
    </w:p>
    <w:p w14:paraId="42BE592A" w14:textId="77777777" w:rsidR="003C0FD8" w:rsidRPr="00A56D2E" w:rsidRDefault="003C0FD8" w:rsidP="003C0FD8">
      <w:pPr>
        <w:spacing w:after="120"/>
        <w:jc w:val="both"/>
      </w:pPr>
      <w:proofErr w:type="spellStart"/>
      <w:r w:rsidRPr="00A56D2E">
        <w:t>Цетиризин</w:t>
      </w:r>
      <w:proofErr w:type="spellEnd"/>
      <w:r w:rsidRPr="00A56D2E">
        <w:t xml:space="preserve"> выделяется в грудное молоко в концентрации, составляющей 25%-90% его концентрации в плазме крови, в зависимости от времени, </w:t>
      </w:r>
      <w:r w:rsidRPr="003D4266">
        <w:rPr>
          <w:color w:val="7030A0"/>
        </w:rPr>
        <w:t>прошедш</w:t>
      </w:r>
      <w:r w:rsidR="003D4266" w:rsidRPr="003D4266">
        <w:rPr>
          <w:color w:val="7030A0"/>
        </w:rPr>
        <w:t>его</w:t>
      </w:r>
      <w:r w:rsidRPr="003D4266">
        <w:rPr>
          <w:color w:val="7030A0"/>
        </w:rPr>
        <w:t xml:space="preserve"> </w:t>
      </w:r>
      <w:r w:rsidRPr="00A56D2E">
        <w:t>между приемом препарата и взятием крови на анализ. Поэтому препарат следует назначать с осторожностью кормящим женщинам.</w:t>
      </w:r>
    </w:p>
    <w:p w14:paraId="1B6F8111" w14:textId="77777777" w:rsidR="003C0FD8" w:rsidRPr="00A56D2E" w:rsidRDefault="003C0FD8" w:rsidP="0034509A">
      <w:pPr>
        <w:spacing w:before="120"/>
        <w:jc w:val="both"/>
        <w:rPr>
          <w:u w:val="single"/>
        </w:rPr>
      </w:pPr>
      <w:r w:rsidRPr="00A56D2E">
        <w:rPr>
          <w:u w:val="single"/>
        </w:rPr>
        <w:t>Фертильность</w:t>
      </w:r>
    </w:p>
    <w:p w14:paraId="1FB736BB" w14:textId="77777777" w:rsidR="003C0FD8" w:rsidRPr="00A56D2E" w:rsidRDefault="003C0FD8" w:rsidP="0034509A">
      <w:pPr>
        <w:jc w:val="both"/>
      </w:pPr>
      <w:r w:rsidRPr="00A56D2E">
        <w:t>Имеются ограниченные данные о фертильности у человека, однако, проблем, связанных с безопасностью, выявлено не было.</w:t>
      </w:r>
    </w:p>
    <w:p w14:paraId="52BB5755" w14:textId="77777777" w:rsidR="003C0FD8" w:rsidRPr="00A56D2E" w:rsidRDefault="003C0FD8" w:rsidP="0034509A">
      <w:pPr>
        <w:jc w:val="both"/>
      </w:pPr>
      <w:r w:rsidRPr="00A56D2E">
        <w:t>Экспериментальные данные не выявили проблем, связанных с безопасностью.</w:t>
      </w:r>
    </w:p>
    <w:p w14:paraId="781248F1" w14:textId="77777777" w:rsidR="00A67D67" w:rsidRPr="00A56D2E" w:rsidRDefault="00A67D67" w:rsidP="00A67D67">
      <w:pPr>
        <w:jc w:val="both"/>
      </w:pPr>
    </w:p>
    <w:p w14:paraId="7085496C" w14:textId="77777777" w:rsidR="00DB4199" w:rsidRPr="0063333A" w:rsidRDefault="00DB4199" w:rsidP="00832886">
      <w:pPr>
        <w:tabs>
          <w:tab w:val="left" w:pos="426"/>
        </w:tabs>
        <w:jc w:val="both"/>
        <w:rPr>
          <w:b/>
          <w:color w:val="00B050"/>
        </w:rPr>
      </w:pPr>
      <w:r w:rsidRPr="00A56D2E">
        <w:rPr>
          <w:b/>
        </w:rPr>
        <w:t xml:space="preserve">4.7. </w:t>
      </w:r>
      <w:r w:rsidRPr="0063333A">
        <w:rPr>
          <w:b/>
          <w:color w:val="00B050"/>
        </w:rPr>
        <w:t>Влияние способность управл</w:t>
      </w:r>
      <w:r w:rsidR="0063333A" w:rsidRPr="0063333A">
        <w:rPr>
          <w:b/>
          <w:color w:val="00B050"/>
        </w:rPr>
        <w:t>ять</w:t>
      </w:r>
      <w:r w:rsidRPr="0063333A">
        <w:rPr>
          <w:b/>
          <w:color w:val="00B050"/>
        </w:rPr>
        <w:t xml:space="preserve"> транспортными средствами и работ</w:t>
      </w:r>
      <w:r w:rsidR="0063333A" w:rsidRPr="0063333A">
        <w:rPr>
          <w:b/>
          <w:color w:val="00B050"/>
        </w:rPr>
        <w:t>ать</w:t>
      </w:r>
      <w:r w:rsidRPr="0063333A">
        <w:rPr>
          <w:b/>
          <w:color w:val="00B050"/>
        </w:rPr>
        <w:t xml:space="preserve"> с механизмами</w:t>
      </w:r>
    </w:p>
    <w:p w14:paraId="445EA873" w14:textId="77777777" w:rsidR="002F6FD4" w:rsidRPr="00A56D2E" w:rsidRDefault="002F6FD4" w:rsidP="002F6FD4">
      <w:pPr>
        <w:spacing w:before="120"/>
        <w:jc w:val="both"/>
      </w:pPr>
      <w:r w:rsidRPr="00A56D2E">
        <w:t xml:space="preserve">Объективные измерения способности управлять автотранспортом, </w:t>
      </w:r>
      <w:proofErr w:type="spellStart"/>
      <w:r w:rsidRPr="00A06C5C">
        <w:t>латенции</w:t>
      </w:r>
      <w:proofErr w:type="spellEnd"/>
      <w:r w:rsidRPr="00A06C5C">
        <w:t xml:space="preserve"> сна и при работе</w:t>
      </w:r>
      <w:r w:rsidRPr="00A56D2E">
        <w:t xml:space="preserve"> на конвейере не выявили каких-либо клинически выраженных эффектов препарата в дозе 10 мг.</w:t>
      </w:r>
    </w:p>
    <w:p w14:paraId="7E71131F" w14:textId="77777777" w:rsidR="00A67D67" w:rsidRDefault="002F6FD4" w:rsidP="00A67D67">
      <w:pPr>
        <w:jc w:val="both"/>
      </w:pPr>
      <w:r w:rsidRPr="00A56D2E">
        <w:t xml:space="preserve">Однако пациентам, испытывающим сонливость, следует воздержаться от управления транспортными средствами, выполнения потенциально опасных видов деятельности и работы с механизмами. Пациенты, принимающие </w:t>
      </w:r>
      <w:proofErr w:type="spellStart"/>
      <w:r w:rsidRPr="00A56D2E">
        <w:t>цетиризин</w:t>
      </w:r>
      <w:proofErr w:type="spellEnd"/>
      <w:r w:rsidRPr="00A56D2E">
        <w:t>, которые намереваются водить автотранспорт, выполнять потенциально опасные виды деятельности, не должны превышать рекомендуемые дозы и должны принимать во внимание их реакцию на препарат</w:t>
      </w:r>
      <w:r w:rsidR="00374057" w:rsidRPr="00A56D2E">
        <w:t>.</w:t>
      </w:r>
    </w:p>
    <w:p w14:paraId="52F79A2D" w14:textId="77777777" w:rsidR="003D4266" w:rsidRPr="003D4266" w:rsidRDefault="003D4266" w:rsidP="003D4266">
      <w:pPr>
        <w:jc w:val="both"/>
        <w:rPr>
          <w:color w:val="7030A0"/>
        </w:rPr>
      </w:pPr>
      <w:r w:rsidRPr="003D4266">
        <w:rPr>
          <w:color w:val="7030A0"/>
        </w:rPr>
        <w:t>У чувствительных пациентов одновременное употребление алкоголя или других депрессантов центральной нервной системы может дополнительно уменьшить бдительность и ухудшить общее состояние.</w:t>
      </w:r>
    </w:p>
    <w:p w14:paraId="7FE28B62" w14:textId="77777777" w:rsidR="003D4266" w:rsidRPr="00A56D2E" w:rsidRDefault="003D4266" w:rsidP="00A67D67">
      <w:pPr>
        <w:jc w:val="both"/>
      </w:pPr>
    </w:p>
    <w:p w14:paraId="310A230B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4.8. </w:t>
      </w:r>
      <w:r w:rsidR="002F6FD4" w:rsidRPr="00A56D2E">
        <w:rPr>
          <w:b/>
        </w:rPr>
        <w:t>Побочное действие</w:t>
      </w:r>
    </w:p>
    <w:p w14:paraId="6CEF1AF6" w14:textId="77777777" w:rsidR="002F6FD4" w:rsidRPr="00A56D2E" w:rsidRDefault="002F6FD4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t>Клинические исследования</w:t>
      </w:r>
    </w:p>
    <w:p w14:paraId="2BEA3186" w14:textId="77777777" w:rsidR="002F6FD4" w:rsidRPr="00A56D2E" w:rsidRDefault="002F6FD4" w:rsidP="0034509A">
      <w:pPr>
        <w:numPr>
          <w:ilvl w:val="0"/>
          <w:numId w:val="16"/>
        </w:numPr>
        <w:spacing w:before="120"/>
        <w:jc w:val="both"/>
      </w:pPr>
      <w:r w:rsidRPr="00A56D2E">
        <w:t>Обобщенные данные</w:t>
      </w:r>
    </w:p>
    <w:p w14:paraId="527AB9B8" w14:textId="77777777" w:rsidR="00DB4199" w:rsidRPr="00A56D2E" w:rsidRDefault="00DB4199" w:rsidP="00832886">
      <w:pPr>
        <w:jc w:val="both"/>
      </w:pPr>
      <w:r w:rsidRPr="00A56D2E">
        <w:t xml:space="preserve">По данным клинических исследований, </w:t>
      </w:r>
      <w:proofErr w:type="spellStart"/>
      <w:r w:rsidRPr="00A56D2E">
        <w:t>цетиризин</w:t>
      </w:r>
      <w:proofErr w:type="spellEnd"/>
      <w:r w:rsidRPr="00A56D2E">
        <w:t xml:space="preserve"> во всех рекомендованных дозах может вызывать лишь минимальные нежелательные реакции со стороны ЦНС, такие как сонливость, утомляемость, головокружение, и головную боль. В некоторых случаях наблюдалась парадоксальная стимуляция ЦНС. </w:t>
      </w:r>
    </w:p>
    <w:p w14:paraId="4933B218" w14:textId="77777777" w:rsidR="00DB4199" w:rsidRPr="00A56D2E" w:rsidRDefault="00DB4199" w:rsidP="001B5AE8">
      <w:pPr>
        <w:spacing w:before="120"/>
        <w:jc w:val="both"/>
      </w:pPr>
      <w:r w:rsidRPr="00A56D2E">
        <w:t xml:space="preserve">Несмотря на то, что </w:t>
      </w:r>
      <w:proofErr w:type="spellStart"/>
      <w:r w:rsidRPr="00A56D2E">
        <w:t>цетиризин</w:t>
      </w:r>
      <w:proofErr w:type="spellEnd"/>
      <w:r w:rsidRPr="00A56D2E">
        <w:t xml:space="preserve"> является селективным антагонистом периферических рецепторов Н1, и относительно не обладает </w:t>
      </w:r>
      <w:proofErr w:type="spellStart"/>
      <w:r w:rsidRPr="00A56D2E">
        <w:t>антихолинэргической</w:t>
      </w:r>
      <w:proofErr w:type="spellEnd"/>
      <w:r w:rsidRPr="00A56D2E">
        <w:t xml:space="preserve"> активностью, в изолированных случаях наблюдались нарушения мочеиспускания, зрительной аккомодации и сухость во рту. </w:t>
      </w:r>
    </w:p>
    <w:p w14:paraId="5F440BEC" w14:textId="77777777" w:rsidR="00DB4199" w:rsidRPr="00A56D2E" w:rsidRDefault="00DB4199" w:rsidP="001B5AE8">
      <w:pPr>
        <w:spacing w:before="120"/>
        <w:jc w:val="both"/>
      </w:pPr>
      <w:r w:rsidRPr="00A56D2E">
        <w:t>Отмечались случаи нарушений функции печени с повышением печ</w:t>
      </w:r>
      <w:r w:rsidR="00A37B0E" w:rsidRPr="00A37B0E">
        <w:rPr>
          <w:color w:val="FF0000"/>
        </w:rPr>
        <w:t>е</w:t>
      </w:r>
      <w:r w:rsidRPr="00A56D2E">
        <w:t xml:space="preserve">ночных ферментов с сопровождающимся повышенным уровнем билирубина. В большинстве случаев эти изменения проходят при отмене лечения </w:t>
      </w:r>
      <w:proofErr w:type="spellStart"/>
      <w:r w:rsidRPr="00A56D2E">
        <w:t>цетиризи</w:t>
      </w:r>
      <w:r w:rsidRPr="00B92281">
        <w:rPr>
          <w:color w:val="FF0000"/>
        </w:rPr>
        <w:t>н</w:t>
      </w:r>
      <w:r w:rsidR="00B92281" w:rsidRPr="00B92281">
        <w:rPr>
          <w:color w:val="FF0000"/>
        </w:rPr>
        <w:t>а</w:t>
      </w:r>
      <w:proofErr w:type="spellEnd"/>
      <w:r w:rsidRPr="00A56D2E">
        <w:t xml:space="preserve"> </w:t>
      </w:r>
      <w:proofErr w:type="spellStart"/>
      <w:r w:rsidRPr="00A56D2E">
        <w:t>дигидрохлоридом</w:t>
      </w:r>
      <w:proofErr w:type="spellEnd"/>
      <w:r w:rsidRPr="00A56D2E">
        <w:t>.</w:t>
      </w:r>
    </w:p>
    <w:p w14:paraId="508A4855" w14:textId="77777777" w:rsidR="002F6FD4" w:rsidRPr="00832886" w:rsidRDefault="002F6FD4" w:rsidP="002F6FD4">
      <w:pPr>
        <w:numPr>
          <w:ilvl w:val="0"/>
          <w:numId w:val="16"/>
        </w:numPr>
        <w:spacing w:before="120"/>
        <w:jc w:val="both"/>
      </w:pPr>
      <w:r w:rsidRPr="00832886">
        <w:t>Перечень побочных реакций</w:t>
      </w:r>
    </w:p>
    <w:p w14:paraId="6405B86C" w14:textId="77777777" w:rsidR="00DB4199" w:rsidRPr="00A56D2E" w:rsidRDefault="00DB4199" w:rsidP="003E50E6">
      <w:pPr>
        <w:jc w:val="both"/>
      </w:pPr>
      <w:r w:rsidRPr="00A56D2E">
        <w:t>В двойны</w:t>
      </w:r>
      <w:r w:rsidR="00B92281" w:rsidRPr="00B92281">
        <w:rPr>
          <w:color w:val="FF0000"/>
        </w:rPr>
        <w:t>е</w:t>
      </w:r>
      <w:r w:rsidRPr="00A56D2E">
        <w:t xml:space="preserve"> слепы</w:t>
      </w:r>
      <w:r w:rsidR="00B92281" w:rsidRPr="00B92281">
        <w:rPr>
          <w:color w:val="FF0000"/>
        </w:rPr>
        <w:t>е</w:t>
      </w:r>
      <w:r w:rsidRPr="00A56D2E">
        <w:t xml:space="preserve"> </w:t>
      </w:r>
      <w:r w:rsidRPr="00263A73">
        <w:t>контроли</w:t>
      </w:r>
      <w:r w:rsidRPr="00263A73">
        <w:rPr>
          <w:color w:val="FF0000"/>
        </w:rPr>
        <w:t>р</w:t>
      </w:r>
      <w:r w:rsidR="004B3150" w:rsidRPr="00263A73">
        <w:rPr>
          <w:color w:val="FF0000"/>
        </w:rPr>
        <w:t>уемые</w:t>
      </w:r>
      <w:r w:rsidRPr="00A56D2E">
        <w:t xml:space="preserve"> клинически</w:t>
      </w:r>
      <w:r w:rsidR="00B92281" w:rsidRPr="00B92281">
        <w:rPr>
          <w:color w:val="FF0000"/>
        </w:rPr>
        <w:t>е</w:t>
      </w:r>
      <w:r w:rsidRPr="00A56D2E">
        <w:t xml:space="preserve"> или </w:t>
      </w:r>
      <w:proofErr w:type="spellStart"/>
      <w:r w:rsidRPr="00A56D2E">
        <w:t>фармакоклинически</w:t>
      </w:r>
      <w:r w:rsidR="00B92281" w:rsidRPr="00B92281">
        <w:rPr>
          <w:color w:val="FF0000"/>
        </w:rPr>
        <w:t>е</w:t>
      </w:r>
      <w:proofErr w:type="spellEnd"/>
      <w:r w:rsidRPr="00A56D2E">
        <w:t xml:space="preserve"> исследовани</w:t>
      </w:r>
      <w:r w:rsidRPr="00B92281">
        <w:rPr>
          <w:color w:val="FF0000"/>
        </w:rPr>
        <w:t>я</w:t>
      </w:r>
      <w:r w:rsidRPr="00A56D2E">
        <w:t xml:space="preserve"> </w:t>
      </w:r>
      <w:proofErr w:type="spellStart"/>
      <w:r w:rsidRPr="00A56D2E">
        <w:t>цетиризина</w:t>
      </w:r>
      <w:proofErr w:type="spellEnd"/>
      <w:r w:rsidRPr="00A56D2E">
        <w:t xml:space="preserve"> по сравнению с плацебо или другими антигистаминными преп</w:t>
      </w:r>
      <w:r w:rsidR="008F27C6" w:rsidRPr="00A56D2E">
        <w:t>а</w:t>
      </w:r>
      <w:r w:rsidRPr="00A56D2E">
        <w:t xml:space="preserve">ратами в </w:t>
      </w:r>
      <w:r w:rsidRPr="00A56D2E">
        <w:lastRenderedPageBreak/>
        <w:t xml:space="preserve">рекомендуемых дозах (для </w:t>
      </w:r>
      <w:proofErr w:type="spellStart"/>
      <w:r w:rsidRPr="00A56D2E">
        <w:t>цетиризина</w:t>
      </w:r>
      <w:proofErr w:type="spellEnd"/>
      <w:r w:rsidRPr="00A56D2E">
        <w:t xml:space="preserve"> это составляло 10 мг/сутки), для которых имеются доступные количественные данные по безопасности, было включено 3200 пациентов, получавших </w:t>
      </w:r>
      <w:proofErr w:type="spellStart"/>
      <w:r w:rsidRPr="00A56D2E">
        <w:t>цетиризин</w:t>
      </w:r>
      <w:proofErr w:type="spellEnd"/>
      <w:r w:rsidRPr="00A56D2E">
        <w:t xml:space="preserve">. </w:t>
      </w:r>
    </w:p>
    <w:p w14:paraId="4A80F561" w14:textId="77777777" w:rsidR="00DB4199" w:rsidRPr="00A56D2E" w:rsidRDefault="00DB4199" w:rsidP="009D6F8E">
      <w:pPr>
        <w:spacing w:before="120" w:after="120"/>
        <w:jc w:val="both"/>
      </w:pPr>
      <w:r w:rsidRPr="00A56D2E">
        <w:t>На основании этих соб</w:t>
      </w:r>
      <w:r w:rsidR="008F27C6" w:rsidRPr="00A56D2E">
        <w:t>ранных вместе результатов исследован</w:t>
      </w:r>
      <w:r w:rsidRPr="00A56D2E">
        <w:t>ий с контролем плацебо, наблюдались следующие побочные реа</w:t>
      </w:r>
      <w:r w:rsidR="008F27C6" w:rsidRPr="00A56D2E">
        <w:t xml:space="preserve">кции для </w:t>
      </w:r>
      <w:proofErr w:type="spellStart"/>
      <w:r w:rsidR="008F27C6" w:rsidRPr="00A56D2E">
        <w:t>цетиризина</w:t>
      </w:r>
      <w:proofErr w:type="spellEnd"/>
      <w:r w:rsidR="008F27C6" w:rsidRPr="00A56D2E">
        <w:t xml:space="preserve"> </w:t>
      </w:r>
      <w:r w:rsidR="008F27C6" w:rsidRPr="00244EC6">
        <w:rPr>
          <w:color w:val="7030A0"/>
        </w:rPr>
        <w:t>10</w:t>
      </w:r>
      <w:r w:rsidR="00244EC6" w:rsidRPr="00244EC6">
        <w:rPr>
          <w:color w:val="7030A0"/>
        </w:rPr>
        <w:t xml:space="preserve"> </w:t>
      </w:r>
      <w:r w:rsidR="008F27C6" w:rsidRPr="00244EC6">
        <w:rPr>
          <w:color w:val="7030A0"/>
        </w:rPr>
        <w:t>мг</w:t>
      </w:r>
      <w:r w:rsidR="008F27C6" w:rsidRPr="00A56D2E">
        <w:t>, возник</w:t>
      </w:r>
      <w:r w:rsidRPr="00A56D2E">
        <w:t>авшие с частотой</w:t>
      </w:r>
      <w:r w:rsidR="00244EC6">
        <w:t xml:space="preserve"> </w:t>
      </w:r>
      <w:r w:rsidR="00244EC6" w:rsidRPr="00244EC6">
        <w:rPr>
          <w:color w:val="7030A0"/>
        </w:rPr>
        <w:t>1% и более: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12"/>
        <w:gridCol w:w="1764"/>
        <w:gridCol w:w="1703"/>
      </w:tblGrid>
      <w:tr w:rsidR="00DB4199" w:rsidRPr="00A56D2E" w14:paraId="5DF29C95" w14:textId="77777777" w:rsidTr="009D6F8E">
        <w:trPr>
          <w:jc w:val="center"/>
        </w:trPr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487" w14:textId="77777777" w:rsidR="00A94C58" w:rsidRPr="00A56D2E" w:rsidRDefault="00DB4199" w:rsidP="00455D70">
            <w:pPr>
              <w:jc w:val="center"/>
              <w:rPr>
                <w:b/>
                <w:lang w:val="en-US"/>
              </w:rPr>
            </w:pPr>
            <w:r w:rsidRPr="00A56D2E">
              <w:rPr>
                <w:b/>
              </w:rPr>
              <w:t>Побочная</w:t>
            </w:r>
            <w:r w:rsidRPr="00A56D2E">
              <w:rPr>
                <w:b/>
                <w:lang w:val="en-US"/>
              </w:rPr>
              <w:t xml:space="preserve"> </w:t>
            </w:r>
            <w:r w:rsidRPr="00A56D2E">
              <w:rPr>
                <w:b/>
              </w:rPr>
              <w:t>реакция</w:t>
            </w:r>
            <w:r w:rsidRPr="00A56D2E">
              <w:rPr>
                <w:b/>
                <w:lang w:val="en-US"/>
              </w:rPr>
              <w:t xml:space="preserve"> </w:t>
            </w:r>
          </w:p>
          <w:p w14:paraId="03E7642A" w14:textId="77777777" w:rsidR="00DB4199" w:rsidRPr="00A56D2E" w:rsidRDefault="00DB4199" w:rsidP="00455D70">
            <w:pPr>
              <w:jc w:val="center"/>
              <w:rPr>
                <w:b/>
                <w:lang w:val="en-US"/>
              </w:rPr>
            </w:pPr>
            <w:r w:rsidRPr="00A56D2E">
              <w:rPr>
                <w:b/>
                <w:lang w:val="en-US"/>
              </w:rPr>
              <w:t>(WHO-A</w:t>
            </w:r>
            <w:r w:rsidR="00A94C58" w:rsidRPr="00A56D2E">
              <w:rPr>
                <w:b/>
                <w:lang w:val="en-US"/>
              </w:rPr>
              <w:t xml:space="preserve">dverse </w:t>
            </w:r>
            <w:r w:rsidRPr="00A56D2E">
              <w:rPr>
                <w:b/>
                <w:lang w:val="en-US"/>
              </w:rPr>
              <w:t>R</w:t>
            </w:r>
            <w:r w:rsidR="00A94C58" w:rsidRPr="00A56D2E">
              <w:rPr>
                <w:b/>
                <w:lang w:val="en-US"/>
              </w:rPr>
              <w:t xml:space="preserve">eaction </w:t>
            </w:r>
            <w:r w:rsidRPr="00A56D2E">
              <w:rPr>
                <w:b/>
                <w:lang w:val="en-US"/>
              </w:rPr>
              <w:t>T</w:t>
            </w:r>
            <w:r w:rsidR="00A94C58" w:rsidRPr="00A56D2E">
              <w:rPr>
                <w:b/>
                <w:lang w:val="en-US"/>
              </w:rPr>
              <w:t>erminology</w:t>
            </w:r>
            <w:r w:rsidRPr="00A56D2E">
              <w:rPr>
                <w:b/>
                <w:lang w:val="en-US"/>
              </w:rPr>
              <w:t>)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5FEB" w14:textId="77777777" w:rsidR="00DB4199" w:rsidRPr="00A56D2E" w:rsidRDefault="00DB4199" w:rsidP="0049057E">
            <w:pPr>
              <w:jc w:val="center"/>
              <w:rPr>
                <w:b/>
              </w:rPr>
            </w:pPr>
            <w:proofErr w:type="spellStart"/>
            <w:r w:rsidRPr="00A56D2E">
              <w:rPr>
                <w:b/>
              </w:rPr>
              <w:t>Цетиризин</w:t>
            </w:r>
            <w:proofErr w:type="spellEnd"/>
            <w:r w:rsidRPr="00A56D2E">
              <w:rPr>
                <w:b/>
              </w:rPr>
              <w:t xml:space="preserve"> 10 мг</w:t>
            </w:r>
          </w:p>
          <w:p w14:paraId="463EB135" w14:textId="77777777" w:rsidR="00DB4199" w:rsidRPr="00A56D2E" w:rsidRDefault="00DB4199" w:rsidP="00826C85">
            <w:pPr>
              <w:jc w:val="center"/>
              <w:rPr>
                <w:b/>
              </w:rPr>
            </w:pPr>
            <w:r w:rsidRPr="00A56D2E">
              <w:rPr>
                <w:b/>
              </w:rPr>
              <w:t>(n= 3260)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1B3D" w14:textId="77777777" w:rsidR="00DB4199" w:rsidRPr="00A56D2E" w:rsidRDefault="00DB4199" w:rsidP="00CD7025">
            <w:pPr>
              <w:jc w:val="center"/>
              <w:rPr>
                <w:b/>
              </w:rPr>
            </w:pPr>
            <w:r w:rsidRPr="00A56D2E">
              <w:rPr>
                <w:b/>
              </w:rPr>
              <w:t>Плацебо</w:t>
            </w:r>
          </w:p>
          <w:p w14:paraId="071EDCF6" w14:textId="77777777" w:rsidR="008F27C6" w:rsidRPr="00A56D2E" w:rsidRDefault="008F27C6" w:rsidP="00CD7025">
            <w:pPr>
              <w:jc w:val="center"/>
              <w:rPr>
                <w:b/>
              </w:rPr>
            </w:pPr>
          </w:p>
          <w:p w14:paraId="460F8F20" w14:textId="77777777" w:rsidR="00DB4199" w:rsidRPr="00A56D2E" w:rsidRDefault="00DB4199" w:rsidP="005F2690">
            <w:pPr>
              <w:jc w:val="center"/>
              <w:rPr>
                <w:b/>
              </w:rPr>
            </w:pPr>
            <w:r w:rsidRPr="00A56D2E">
              <w:rPr>
                <w:b/>
              </w:rPr>
              <w:t>(n = 3061)</w:t>
            </w:r>
          </w:p>
        </w:tc>
      </w:tr>
      <w:tr w:rsidR="00DB4199" w:rsidRPr="00A56D2E" w14:paraId="64C7BEE5" w14:textId="77777777" w:rsidTr="009D6F8E">
        <w:trPr>
          <w:jc w:val="center"/>
        </w:trPr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F7CA" w14:textId="77777777" w:rsidR="00DB4199" w:rsidRPr="00A56D2E" w:rsidRDefault="00DB4199" w:rsidP="00455D70">
            <w:pPr>
              <w:rPr>
                <w:i/>
              </w:rPr>
            </w:pPr>
            <w:r w:rsidRPr="00A56D2E">
              <w:rPr>
                <w:i/>
              </w:rPr>
              <w:t>Нарушения психики</w:t>
            </w:r>
          </w:p>
          <w:p w14:paraId="78C7DD4A" w14:textId="77777777" w:rsidR="00DB4199" w:rsidRPr="00A56D2E" w:rsidRDefault="00DB4199" w:rsidP="0049057E">
            <w:r w:rsidRPr="00A56D2E">
              <w:t>Сонливость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6914" w14:textId="77777777" w:rsidR="00DB4199" w:rsidRPr="00A56D2E" w:rsidRDefault="00DB4199" w:rsidP="00826C85">
            <w:r w:rsidRPr="00A56D2E">
              <w:br/>
              <w:t>9.63%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EE38" w14:textId="77777777" w:rsidR="00DB4199" w:rsidRPr="00A56D2E" w:rsidRDefault="00DB4199" w:rsidP="00CD7025">
            <w:r w:rsidRPr="00A56D2E">
              <w:br/>
              <w:t>5.00%</w:t>
            </w:r>
          </w:p>
        </w:tc>
      </w:tr>
      <w:tr w:rsidR="00A94C58" w:rsidRPr="00A56D2E" w14:paraId="16BC2700" w14:textId="77777777" w:rsidTr="009D6F8E">
        <w:trPr>
          <w:jc w:val="center"/>
        </w:trPr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4E40" w14:textId="77777777" w:rsidR="00A94C58" w:rsidRPr="00A56D2E" w:rsidRDefault="00A94C58" w:rsidP="005A7CF2">
            <w:pPr>
              <w:rPr>
                <w:i/>
              </w:rPr>
            </w:pPr>
            <w:r w:rsidRPr="00A56D2E">
              <w:rPr>
                <w:i/>
              </w:rPr>
              <w:t>Нарушения со стороны нервной системы</w:t>
            </w:r>
          </w:p>
          <w:p w14:paraId="5A0DDF24" w14:textId="77777777" w:rsidR="00A94C58" w:rsidRPr="00A56D2E" w:rsidRDefault="00A94C58" w:rsidP="005A7CF2">
            <w:r w:rsidRPr="00A56D2E">
              <w:t>Головокружения</w:t>
            </w:r>
          </w:p>
          <w:p w14:paraId="61364583" w14:textId="77777777" w:rsidR="00A94C58" w:rsidRPr="00A56D2E" w:rsidRDefault="00A94C58" w:rsidP="00455D70">
            <w:r w:rsidRPr="00A56D2E">
              <w:t>Головная боль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9FD5" w14:textId="77777777" w:rsidR="00A94C58" w:rsidRPr="00A56D2E" w:rsidRDefault="00A94C58" w:rsidP="00826C85">
            <w:r w:rsidRPr="00A56D2E">
              <w:br/>
              <w:t>1.10%</w:t>
            </w:r>
            <w:r w:rsidRPr="00A56D2E">
              <w:br/>
              <w:t>7.42%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A824" w14:textId="77777777" w:rsidR="00A94C58" w:rsidRPr="00A56D2E" w:rsidRDefault="00A94C58" w:rsidP="00CD7025">
            <w:r w:rsidRPr="00A56D2E">
              <w:br/>
              <w:t>0.98%</w:t>
            </w:r>
            <w:r w:rsidRPr="00A56D2E">
              <w:br/>
              <w:t>8.07%</w:t>
            </w:r>
          </w:p>
        </w:tc>
      </w:tr>
      <w:tr w:rsidR="00A94C58" w:rsidRPr="00A56D2E" w14:paraId="124CDA6C" w14:textId="77777777" w:rsidTr="009D6F8E">
        <w:trPr>
          <w:jc w:val="center"/>
        </w:trPr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EE23" w14:textId="77777777" w:rsidR="00A94C58" w:rsidRPr="00A56D2E" w:rsidRDefault="00A94C58" w:rsidP="00455D70">
            <w:pPr>
              <w:rPr>
                <w:i/>
              </w:rPr>
            </w:pPr>
            <w:r w:rsidRPr="00A56D2E">
              <w:rPr>
                <w:i/>
              </w:rPr>
              <w:t>Нарушения со стороны дыхательной системы, органов грудной клетки и средостения</w:t>
            </w:r>
          </w:p>
          <w:p w14:paraId="2F2C84F7" w14:textId="77777777" w:rsidR="00A94C58" w:rsidRPr="00A56D2E" w:rsidRDefault="00A94C58" w:rsidP="0049057E">
            <w:r w:rsidRPr="00A56D2E">
              <w:t>Фарингит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BFCF" w14:textId="77777777" w:rsidR="00A94C58" w:rsidRPr="00A56D2E" w:rsidRDefault="00A94C58" w:rsidP="00826C85">
            <w:r w:rsidRPr="00A56D2E">
              <w:br/>
              <w:t>1,29%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5E5C" w14:textId="77777777" w:rsidR="00A94C58" w:rsidRPr="00A56D2E" w:rsidRDefault="00A94C58" w:rsidP="00CD7025">
            <w:r w:rsidRPr="00A56D2E">
              <w:br/>
              <w:t>1,34%</w:t>
            </w:r>
          </w:p>
        </w:tc>
      </w:tr>
      <w:tr w:rsidR="00A94C58" w:rsidRPr="00A56D2E" w14:paraId="6B9B714B" w14:textId="77777777" w:rsidTr="009D6F8E">
        <w:trPr>
          <w:jc w:val="center"/>
        </w:trPr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2366" w14:textId="77777777" w:rsidR="00A94C58" w:rsidRPr="00A56D2E" w:rsidRDefault="00A94C58" w:rsidP="00612271">
            <w:pPr>
              <w:rPr>
                <w:i/>
              </w:rPr>
            </w:pPr>
            <w:r w:rsidRPr="00A56D2E">
              <w:rPr>
                <w:i/>
              </w:rPr>
              <w:t>Нарушения со стороны желудочно-кишечного тракта</w:t>
            </w:r>
          </w:p>
          <w:p w14:paraId="01AEC272" w14:textId="77777777" w:rsidR="00A94C58" w:rsidRPr="00A56D2E" w:rsidRDefault="00A94C58" w:rsidP="00612271">
            <w:r w:rsidRPr="00A56D2E">
              <w:t>Боль в животе</w:t>
            </w:r>
          </w:p>
          <w:p w14:paraId="28664058" w14:textId="77777777" w:rsidR="00A94C58" w:rsidRPr="00A56D2E" w:rsidRDefault="00A94C58" w:rsidP="00612271">
            <w:r w:rsidRPr="00A56D2E">
              <w:t>Сухость во рту</w:t>
            </w:r>
          </w:p>
          <w:p w14:paraId="75BF3AE5" w14:textId="77777777" w:rsidR="00A94C58" w:rsidRPr="00A56D2E" w:rsidRDefault="00A94C58" w:rsidP="00455D70">
            <w:r w:rsidRPr="00A56D2E">
              <w:t>Тошнота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6C9C" w14:textId="77777777" w:rsidR="00A94C58" w:rsidRPr="00A56D2E" w:rsidRDefault="00A94C58" w:rsidP="00612271">
            <w:r w:rsidRPr="00A56D2E">
              <w:br/>
              <w:t>0.98%</w:t>
            </w:r>
            <w:r w:rsidRPr="00A56D2E">
              <w:br/>
              <w:t>2.09%</w:t>
            </w:r>
          </w:p>
          <w:p w14:paraId="69AA7B9B" w14:textId="77777777" w:rsidR="00A94C58" w:rsidRPr="00A56D2E" w:rsidRDefault="00A94C58" w:rsidP="00826C85">
            <w:r w:rsidRPr="00A56D2E">
              <w:t>1.07%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C878" w14:textId="77777777" w:rsidR="00A94C58" w:rsidRPr="00A56D2E" w:rsidRDefault="00A94C58" w:rsidP="00CD7025">
            <w:r w:rsidRPr="00A56D2E">
              <w:br/>
              <w:t>1.08%</w:t>
            </w:r>
            <w:r w:rsidRPr="00A56D2E">
              <w:br/>
              <w:t>0.82%</w:t>
            </w:r>
            <w:r w:rsidRPr="00A56D2E">
              <w:br/>
              <w:t>1.14%</w:t>
            </w:r>
          </w:p>
        </w:tc>
      </w:tr>
      <w:tr w:rsidR="00A94C58" w:rsidRPr="00A56D2E" w14:paraId="4C2841EC" w14:textId="77777777" w:rsidTr="009D6F8E">
        <w:trPr>
          <w:jc w:val="center"/>
        </w:trPr>
        <w:tc>
          <w:tcPr>
            <w:tcW w:w="3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31F2" w14:textId="77777777" w:rsidR="00A94C58" w:rsidRPr="00A56D2E" w:rsidRDefault="00A94C58" w:rsidP="00612271">
            <w:pPr>
              <w:rPr>
                <w:i/>
              </w:rPr>
            </w:pPr>
            <w:r w:rsidRPr="00A56D2E">
              <w:rPr>
                <w:i/>
              </w:rPr>
              <w:t>Общие расстройства и нарушения в месте введения</w:t>
            </w:r>
          </w:p>
          <w:p w14:paraId="16C6F9BE" w14:textId="77777777" w:rsidR="00A94C58" w:rsidRPr="00A56D2E" w:rsidRDefault="00A94C58" w:rsidP="00612271">
            <w:r w:rsidRPr="00A56D2E">
              <w:t>Утомляемость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A5EB" w14:textId="77777777" w:rsidR="00A94C58" w:rsidRPr="00A56D2E" w:rsidRDefault="00A94C58" w:rsidP="00612271">
            <w:r w:rsidRPr="00A56D2E">
              <w:br/>
              <w:t>1.63%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158B" w14:textId="77777777" w:rsidR="00A94C58" w:rsidRPr="00A56D2E" w:rsidRDefault="00A94C58" w:rsidP="00CD7025">
            <w:r w:rsidRPr="00A56D2E">
              <w:br/>
              <w:t>0.95%</w:t>
            </w:r>
          </w:p>
        </w:tc>
      </w:tr>
    </w:tbl>
    <w:p w14:paraId="3F75DF10" w14:textId="77777777" w:rsidR="00DB4199" w:rsidRPr="00A56D2E" w:rsidRDefault="00DB4199" w:rsidP="009D6F8E">
      <w:pPr>
        <w:spacing w:before="120"/>
        <w:jc w:val="both"/>
      </w:pPr>
      <w:r w:rsidRPr="00A56D2E">
        <w:t xml:space="preserve">Несмотря на статистически более частое развитие сонливости, по сравнению с плацебо, в большинстве случаев </w:t>
      </w:r>
      <w:r w:rsidRPr="00A37B0E">
        <w:rPr>
          <w:color w:val="FF0000"/>
        </w:rPr>
        <w:t>е</w:t>
      </w:r>
      <w:r w:rsidR="00A37B0E" w:rsidRPr="00A37B0E">
        <w:rPr>
          <w:color w:val="FF0000"/>
        </w:rPr>
        <w:t>е</w:t>
      </w:r>
      <w:r w:rsidRPr="00A37B0E">
        <w:rPr>
          <w:color w:val="FF0000"/>
        </w:rPr>
        <w:t xml:space="preserve"> </w:t>
      </w:r>
      <w:r w:rsidRPr="00A56D2E">
        <w:t>выраженность была от незначительной до средней. Данные объективных тестов, проведенных в других исследованиях, по</w:t>
      </w:r>
      <w:r w:rsidRPr="00B92281">
        <w:rPr>
          <w:color w:val="FF0000"/>
        </w:rPr>
        <w:t>к</w:t>
      </w:r>
      <w:r w:rsidRPr="00A56D2E">
        <w:t>азали, что при применении преп</w:t>
      </w:r>
      <w:r w:rsidR="00403C25" w:rsidRPr="00A56D2E">
        <w:t>а</w:t>
      </w:r>
      <w:r w:rsidRPr="00A56D2E">
        <w:t>рата в рекомендованных дозах повседневная активность у молодых здоровых добровольцев не ухудшалась.</w:t>
      </w:r>
    </w:p>
    <w:p w14:paraId="27FB4AF8" w14:textId="77777777" w:rsidR="00DB4199" w:rsidRPr="00A56D2E" w:rsidRDefault="00DB4199" w:rsidP="001B5AE8">
      <w:pPr>
        <w:spacing w:before="120"/>
        <w:jc w:val="both"/>
        <w:rPr>
          <w:i/>
          <w:u w:val="single"/>
        </w:rPr>
      </w:pPr>
      <w:r w:rsidRPr="00A56D2E">
        <w:rPr>
          <w:i/>
          <w:u w:val="single"/>
        </w:rPr>
        <w:t>Дети и подростки</w:t>
      </w:r>
    </w:p>
    <w:p w14:paraId="6E77E3FB" w14:textId="77777777" w:rsidR="00DB4199" w:rsidRPr="00A56D2E" w:rsidRDefault="00DB4199" w:rsidP="009D6F8E">
      <w:pPr>
        <w:spacing w:after="120"/>
        <w:jc w:val="both"/>
      </w:pPr>
      <w:r w:rsidRPr="00A56D2E">
        <w:t xml:space="preserve">Побочные реакции, наблюдавшиеся с частотой 1% и выше в клинических или </w:t>
      </w:r>
      <w:proofErr w:type="spellStart"/>
      <w:r w:rsidRPr="00A56D2E">
        <w:t>фармакоклинических</w:t>
      </w:r>
      <w:proofErr w:type="spellEnd"/>
      <w:r w:rsidRPr="00A56D2E">
        <w:t xml:space="preserve"> исследованиях у детей в возрасте от 6 месяцев до 12 лет приведены ниже: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45"/>
        <w:gridCol w:w="1806"/>
        <w:gridCol w:w="1628"/>
      </w:tblGrid>
      <w:tr w:rsidR="00DB4199" w:rsidRPr="00A56D2E" w14:paraId="4C468BB3" w14:textId="77777777" w:rsidTr="00403C25">
        <w:trPr>
          <w:jc w:val="center"/>
        </w:trPr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16DD" w14:textId="77777777" w:rsidR="00DB4199" w:rsidRPr="00A56D2E" w:rsidRDefault="00DB4199" w:rsidP="00403C25">
            <w:pPr>
              <w:jc w:val="center"/>
              <w:rPr>
                <w:b/>
              </w:rPr>
            </w:pPr>
            <w:r w:rsidRPr="00A56D2E">
              <w:rPr>
                <w:b/>
              </w:rPr>
              <w:t>Побочная реакция (WHO-ART)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3C75F" w14:textId="77777777" w:rsidR="00DB4199" w:rsidRPr="00A56D2E" w:rsidRDefault="00DB4199" w:rsidP="00403C25">
            <w:pPr>
              <w:rPr>
                <w:b/>
              </w:rPr>
            </w:pPr>
            <w:proofErr w:type="spellStart"/>
            <w:r w:rsidRPr="00A56D2E">
              <w:rPr>
                <w:b/>
              </w:rPr>
              <w:t>Цетиризин</w:t>
            </w:r>
            <w:proofErr w:type="spellEnd"/>
            <w:r w:rsidRPr="00A56D2E">
              <w:rPr>
                <w:b/>
              </w:rPr>
              <w:t xml:space="preserve"> (n=1656)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4C00" w14:textId="77777777" w:rsidR="00DB4199" w:rsidRPr="00A56D2E" w:rsidRDefault="00DB4199" w:rsidP="00403C25">
            <w:pPr>
              <w:rPr>
                <w:b/>
              </w:rPr>
            </w:pPr>
            <w:r w:rsidRPr="00A56D2E">
              <w:rPr>
                <w:b/>
              </w:rPr>
              <w:t xml:space="preserve">Плацебо </w:t>
            </w:r>
          </w:p>
          <w:p w14:paraId="7EC45039" w14:textId="77777777" w:rsidR="00DB4199" w:rsidRPr="00A56D2E" w:rsidRDefault="00DB4199" w:rsidP="00403C25">
            <w:pPr>
              <w:rPr>
                <w:b/>
              </w:rPr>
            </w:pPr>
            <w:r w:rsidRPr="00A56D2E">
              <w:rPr>
                <w:b/>
              </w:rPr>
              <w:t>(n =1294)</w:t>
            </w:r>
          </w:p>
        </w:tc>
      </w:tr>
      <w:tr w:rsidR="00DB4199" w:rsidRPr="00A56D2E" w14:paraId="5EC36CB4" w14:textId="77777777" w:rsidTr="00403C25">
        <w:trPr>
          <w:jc w:val="center"/>
        </w:trPr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2892" w14:textId="77777777" w:rsidR="00DB4199" w:rsidRPr="00A56D2E" w:rsidRDefault="00DB4199" w:rsidP="00455D70">
            <w:pPr>
              <w:rPr>
                <w:i/>
              </w:rPr>
            </w:pPr>
            <w:r w:rsidRPr="00A56D2E">
              <w:rPr>
                <w:i/>
              </w:rPr>
              <w:t>Нарушения психики</w:t>
            </w:r>
          </w:p>
          <w:p w14:paraId="08A33B04" w14:textId="77777777" w:rsidR="00DB4199" w:rsidRPr="00A56D2E" w:rsidRDefault="00DB4199" w:rsidP="0049057E">
            <w:r w:rsidRPr="00A56D2E">
              <w:t>Сонливость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B0FC" w14:textId="77777777" w:rsidR="00DB4199" w:rsidRPr="00A56D2E" w:rsidRDefault="00DB4199" w:rsidP="00826C85">
            <w:r w:rsidRPr="00A56D2E">
              <w:br/>
              <w:t>1.8%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BE04" w14:textId="77777777" w:rsidR="00DB4199" w:rsidRPr="00A56D2E" w:rsidRDefault="00DB4199" w:rsidP="00CD7025">
            <w:r w:rsidRPr="00A56D2E">
              <w:br/>
              <w:t>1.4%</w:t>
            </w:r>
          </w:p>
        </w:tc>
      </w:tr>
      <w:tr w:rsidR="00DB4199" w:rsidRPr="00A56D2E" w14:paraId="1E446B29" w14:textId="77777777" w:rsidTr="00403C25">
        <w:trPr>
          <w:jc w:val="center"/>
        </w:trPr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19A6" w14:textId="77777777" w:rsidR="00DB4199" w:rsidRPr="00A56D2E" w:rsidRDefault="00DB4199" w:rsidP="00455D70">
            <w:pPr>
              <w:rPr>
                <w:i/>
              </w:rPr>
            </w:pPr>
            <w:r w:rsidRPr="00A56D2E">
              <w:rPr>
                <w:i/>
              </w:rPr>
              <w:t>Нарушения со стороны дыхательной системы</w:t>
            </w:r>
          </w:p>
          <w:p w14:paraId="259AAA22" w14:textId="77777777" w:rsidR="00DB4199" w:rsidRPr="00A56D2E" w:rsidRDefault="00DB4199" w:rsidP="0049057E">
            <w:r w:rsidRPr="00A56D2E">
              <w:t>Ринит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9000" w14:textId="77777777" w:rsidR="00DB4199" w:rsidRPr="00A56D2E" w:rsidRDefault="00DB4199" w:rsidP="00826C85">
            <w:r w:rsidRPr="00A56D2E">
              <w:br/>
              <w:t>1.4%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2BF0" w14:textId="77777777" w:rsidR="00DB4199" w:rsidRPr="00A56D2E" w:rsidRDefault="00DB4199" w:rsidP="00CD7025">
            <w:r w:rsidRPr="00A56D2E">
              <w:br/>
              <w:t>1.1%</w:t>
            </w:r>
          </w:p>
        </w:tc>
      </w:tr>
      <w:tr w:rsidR="00A94C58" w:rsidRPr="00A56D2E" w14:paraId="2EC7D291" w14:textId="77777777" w:rsidTr="00403C25">
        <w:trPr>
          <w:jc w:val="center"/>
        </w:trPr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69F" w14:textId="77777777" w:rsidR="00A94C58" w:rsidRPr="00A56D2E" w:rsidRDefault="00A94C58" w:rsidP="00135D7D">
            <w:pPr>
              <w:rPr>
                <w:i/>
              </w:rPr>
            </w:pPr>
            <w:r w:rsidRPr="00A56D2E">
              <w:rPr>
                <w:i/>
              </w:rPr>
              <w:t>Нарушения со стороны желудочно-кишечного тракта</w:t>
            </w:r>
          </w:p>
          <w:p w14:paraId="589DCA7A" w14:textId="77777777" w:rsidR="00A94C58" w:rsidRPr="00A56D2E" w:rsidRDefault="00A94C58" w:rsidP="00455D70">
            <w:r w:rsidRPr="00A56D2E">
              <w:t>Диарея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68F" w14:textId="77777777" w:rsidR="00A94C58" w:rsidRPr="00A56D2E" w:rsidRDefault="00A94C58" w:rsidP="00826C85">
            <w:r w:rsidRPr="00A56D2E">
              <w:br/>
              <w:t>1.0%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E66D" w14:textId="77777777" w:rsidR="00A94C58" w:rsidRPr="00A56D2E" w:rsidRDefault="00A94C58" w:rsidP="00CD7025">
            <w:r w:rsidRPr="00A56D2E">
              <w:br/>
              <w:t>0.6%</w:t>
            </w:r>
          </w:p>
        </w:tc>
      </w:tr>
      <w:tr w:rsidR="00A94C58" w:rsidRPr="00A56D2E" w14:paraId="4E2A494F" w14:textId="77777777" w:rsidTr="00403C25">
        <w:trPr>
          <w:jc w:val="center"/>
        </w:trPr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DEE4" w14:textId="77777777" w:rsidR="00A94C58" w:rsidRPr="00A56D2E" w:rsidRDefault="00A94C58" w:rsidP="00455D70">
            <w:pPr>
              <w:rPr>
                <w:i/>
              </w:rPr>
            </w:pPr>
            <w:r w:rsidRPr="00A56D2E">
              <w:rPr>
                <w:i/>
              </w:rPr>
              <w:t>Общие расстройства</w:t>
            </w:r>
          </w:p>
          <w:p w14:paraId="07A49EFB" w14:textId="77777777" w:rsidR="00A94C58" w:rsidRPr="00A56D2E" w:rsidRDefault="00A94C58" w:rsidP="0049057E">
            <w:r w:rsidRPr="00A56D2E">
              <w:t>Утомляемость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C7F8" w14:textId="77777777" w:rsidR="00A94C58" w:rsidRPr="00A56D2E" w:rsidRDefault="00A94C58" w:rsidP="00826C85">
            <w:r w:rsidRPr="00A56D2E">
              <w:br/>
              <w:t>1.0%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4531" w14:textId="77777777" w:rsidR="00A94C58" w:rsidRPr="00A56D2E" w:rsidRDefault="00A94C58" w:rsidP="00CD7025">
            <w:r w:rsidRPr="00A56D2E">
              <w:br/>
              <w:t>0.3%</w:t>
            </w:r>
          </w:p>
        </w:tc>
      </w:tr>
    </w:tbl>
    <w:p w14:paraId="474B33BD" w14:textId="77777777" w:rsidR="00DB4199" w:rsidRPr="00A56D2E" w:rsidRDefault="00DB4199" w:rsidP="00A67D67">
      <w:pPr>
        <w:jc w:val="both"/>
      </w:pPr>
    </w:p>
    <w:p w14:paraId="2B0CC3E9" w14:textId="77777777" w:rsidR="00DB4199" w:rsidRPr="00A56D2E" w:rsidRDefault="00DB4199" w:rsidP="00A67D67">
      <w:pPr>
        <w:jc w:val="both"/>
        <w:rPr>
          <w:u w:val="single"/>
        </w:rPr>
      </w:pPr>
      <w:r w:rsidRPr="00A56D2E">
        <w:rPr>
          <w:u w:val="single"/>
        </w:rPr>
        <w:t>Пострегистрационный период</w:t>
      </w:r>
    </w:p>
    <w:p w14:paraId="23C48ADA" w14:textId="77777777" w:rsidR="00DB4199" w:rsidRPr="00F1773A" w:rsidRDefault="00DB4199" w:rsidP="003E50E6">
      <w:pPr>
        <w:jc w:val="both"/>
        <w:rPr>
          <w:color w:val="7030A0"/>
        </w:rPr>
      </w:pPr>
      <w:r w:rsidRPr="00A56D2E">
        <w:t xml:space="preserve">В дополнение к вышеприведенным побочным реакциям, наблюдавшимся по </w:t>
      </w:r>
      <w:r w:rsidR="00403C25" w:rsidRPr="00A56D2E">
        <w:t>ходу клинических исследован</w:t>
      </w:r>
      <w:r w:rsidRPr="00A56D2E">
        <w:t>ий, в некоторых еди</w:t>
      </w:r>
      <w:r w:rsidR="00403C25" w:rsidRPr="00A56D2E">
        <w:t>ничных случаях в пострегистрационн</w:t>
      </w:r>
      <w:r w:rsidRPr="00A56D2E">
        <w:t xml:space="preserve">ом периоде отмечались нижеприведенные побочные реакции. Приблизительная оценка частоты этих </w:t>
      </w:r>
      <w:r w:rsidRPr="00A56D2E">
        <w:lastRenderedPageBreak/>
        <w:t>менее часто наблюдаемых нежелательных эффектов делалась на основании опыта применения в пост</w:t>
      </w:r>
      <w:r w:rsidR="00A94C58" w:rsidRPr="00A56D2E">
        <w:t>регистрационном</w:t>
      </w:r>
      <w:r w:rsidRPr="00A56D2E">
        <w:t xml:space="preserve"> периоде. Неблагоприятные реакции ниже перечислены по частоте и системно-органным классам: очень частые (&gt; 1/10), частые (≥1/100 - &lt;1/10), нечастые (≥1/1,000 - &lt;1/100), редкие (≥1/10,000 - &lt;1/1,000)</w:t>
      </w:r>
      <w:r w:rsidR="00F1773A" w:rsidRPr="005445B6">
        <w:t xml:space="preserve">, </w:t>
      </w:r>
      <w:r w:rsidR="00F1773A" w:rsidRPr="00F1773A">
        <w:rPr>
          <w:color w:val="7030A0"/>
        </w:rPr>
        <w:t>частота неизвестна (</w:t>
      </w:r>
      <w:r w:rsidR="00F1773A">
        <w:rPr>
          <w:color w:val="7030A0"/>
        </w:rPr>
        <w:t xml:space="preserve">по </w:t>
      </w:r>
      <w:r w:rsidR="00F1773A" w:rsidRPr="00F1773A">
        <w:rPr>
          <w:color w:val="7030A0"/>
        </w:rPr>
        <w:t>имеющи</w:t>
      </w:r>
      <w:r w:rsidR="00F1773A">
        <w:rPr>
          <w:color w:val="7030A0"/>
        </w:rPr>
        <w:t>мся</w:t>
      </w:r>
      <w:r w:rsidR="00F1773A" w:rsidRPr="00F1773A">
        <w:rPr>
          <w:color w:val="7030A0"/>
        </w:rPr>
        <w:t xml:space="preserve"> данны</w:t>
      </w:r>
      <w:r w:rsidR="00F1773A">
        <w:rPr>
          <w:color w:val="7030A0"/>
        </w:rPr>
        <w:t xml:space="preserve">м установить </w:t>
      </w:r>
      <w:r w:rsidR="004E29F0">
        <w:rPr>
          <w:color w:val="7030A0"/>
        </w:rPr>
        <w:t>невозможно</w:t>
      </w:r>
      <w:r w:rsidR="00F1773A" w:rsidRPr="00F1773A">
        <w:rPr>
          <w:color w:val="7030A0"/>
        </w:rPr>
        <w:t>):</w:t>
      </w:r>
    </w:p>
    <w:p w14:paraId="460F926E" w14:textId="77777777" w:rsidR="00DB4199" w:rsidRPr="00A56D2E" w:rsidRDefault="00DB4199" w:rsidP="002724E0">
      <w:pPr>
        <w:spacing w:before="120"/>
        <w:jc w:val="both"/>
      </w:pPr>
      <w:r w:rsidRPr="00A56D2E">
        <w:rPr>
          <w:u w:val="single"/>
        </w:rPr>
        <w:t xml:space="preserve">Нарушения со стороны крови и лимфатической системы </w:t>
      </w:r>
    </w:p>
    <w:p w14:paraId="5E715981" w14:textId="77777777" w:rsidR="00DB4199" w:rsidRPr="00A56D2E" w:rsidRDefault="00DB4199" w:rsidP="002724E0">
      <w:pPr>
        <w:jc w:val="both"/>
      </w:pPr>
      <w:r w:rsidRPr="00A56D2E">
        <w:rPr>
          <w:i/>
        </w:rPr>
        <w:t>Очень редкие:</w:t>
      </w:r>
      <w:r w:rsidR="00F02039" w:rsidRPr="00A56D2E">
        <w:rPr>
          <w:i/>
        </w:rPr>
        <w:t xml:space="preserve"> </w:t>
      </w:r>
      <w:r w:rsidRPr="00A56D2E">
        <w:t>тромбоцитопения</w:t>
      </w:r>
      <w:r w:rsidR="00877302" w:rsidRPr="00877302">
        <w:rPr>
          <w:color w:val="FF0000"/>
        </w:rPr>
        <w:t>.</w:t>
      </w:r>
    </w:p>
    <w:p w14:paraId="3D839802" w14:textId="77777777" w:rsidR="00DB4199" w:rsidRPr="00A56D2E" w:rsidRDefault="00DB4199" w:rsidP="002724E0">
      <w:pPr>
        <w:spacing w:before="120"/>
        <w:jc w:val="both"/>
        <w:rPr>
          <w:u w:val="single"/>
        </w:rPr>
      </w:pPr>
      <w:r w:rsidRPr="00A56D2E">
        <w:rPr>
          <w:u w:val="single"/>
        </w:rPr>
        <w:t xml:space="preserve">Нарушения со стороны иммунной системы </w:t>
      </w:r>
    </w:p>
    <w:p w14:paraId="7C6B5F03" w14:textId="77777777" w:rsidR="00DB4199" w:rsidRPr="00A56D2E" w:rsidRDefault="00DB4199" w:rsidP="002724E0">
      <w:pPr>
        <w:jc w:val="both"/>
      </w:pPr>
      <w:r w:rsidRPr="00A56D2E">
        <w:rPr>
          <w:i/>
        </w:rPr>
        <w:t>Редкие:</w:t>
      </w:r>
      <w:r w:rsidRPr="00A56D2E">
        <w:t xml:space="preserve"> повышенная чувствительност</w:t>
      </w:r>
      <w:r w:rsidRPr="00877302">
        <w:t>ь</w:t>
      </w:r>
      <w:r w:rsidR="00877302" w:rsidRPr="00877302">
        <w:rPr>
          <w:color w:val="FF0000"/>
        </w:rPr>
        <w:t>.</w:t>
      </w:r>
    </w:p>
    <w:p w14:paraId="3E28F192" w14:textId="77777777" w:rsidR="00DB4199" w:rsidRPr="00A56D2E" w:rsidRDefault="00DB4199" w:rsidP="002724E0">
      <w:pPr>
        <w:jc w:val="both"/>
      </w:pPr>
      <w:r w:rsidRPr="00A56D2E">
        <w:rPr>
          <w:i/>
        </w:rPr>
        <w:t>Очень редкие:</w:t>
      </w:r>
      <w:r w:rsidRPr="00A56D2E">
        <w:t xml:space="preserve"> анафилактический шок</w:t>
      </w:r>
      <w:r w:rsidR="00877302" w:rsidRPr="00877302">
        <w:rPr>
          <w:color w:val="FF0000"/>
        </w:rPr>
        <w:t>.</w:t>
      </w:r>
    </w:p>
    <w:p w14:paraId="43C85511" w14:textId="77777777" w:rsidR="00DB4199" w:rsidRPr="00A56D2E" w:rsidRDefault="00DB4199" w:rsidP="002724E0">
      <w:pPr>
        <w:spacing w:before="120"/>
        <w:jc w:val="both"/>
        <w:rPr>
          <w:u w:val="single"/>
        </w:rPr>
      </w:pPr>
      <w:r w:rsidRPr="00A56D2E">
        <w:rPr>
          <w:u w:val="single"/>
        </w:rPr>
        <w:t>Нарушения со стороны обмена веществ и питания</w:t>
      </w:r>
    </w:p>
    <w:p w14:paraId="77743DA5" w14:textId="77777777" w:rsidR="00DB4199" w:rsidRPr="00A56D2E" w:rsidRDefault="00DB4199" w:rsidP="002724E0">
      <w:pPr>
        <w:jc w:val="both"/>
      </w:pPr>
      <w:r w:rsidRPr="00A56D2E">
        <w:rPr>
          <w:i/>
        </w:rPr>
        <w:t>Частота неизвестна</w:t>
      </w:r>
      <w:r w:rsidRPr="00A56D2E">
        <w:t>: повышенный аппетит</w:t>
      </w:r>
      <w:r w:rsidR="00877302" w:rsidRPr="00877302">
        <w:rPr>
          <w:color w:val="FF0000"/>
        </w:rPr>
        <w:t>.</w:t>
      </w:r>
    </w:p>
    <w:p w14:paraId="416DE64A" w14:textId="77777777" w:rsidR="00DB4199" w:rsidRPr="00A56D2E" w:rsidRDefault="00DB4199" w:rsidP="002724E0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Нарушения психики </w:t>
      </w:r>
    </w:p>
    <w:p w14:paraId="30288EC2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Нечастые:</w:t>
      </w:r>
      <w:r w:rsidRPr="00A56D2E">
        <w:t xml:space="preserve"> возбуждение</w:t>
      </w:r>
      <w:r w:rsidR="00877302" w:rsidRPr="00877302">
        <w:rPr>
          <w:color w:val="FF0000"/>
        </w:rPr>
        <w:t>.</w:t>
      </w:r>
    </w:p>
    <w:p w14:paraId="1EF97535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Редкие:</w:t>
      </w:r>
      <w:r w:rsidR="00F02039" w:rsidRPr="00A56D2E">
        <w:rPr>
          <w:i/>
        </w:rPr>
        <w:t xml:space="preserve"> </w:t>
      </w:r>
      <w:r w:rsidRPr="00A56D2E">
        <w:t xml:space="preserve">агрессия, </w:t>
      </w:r>
      <w:r w:rsidR="00877302" w:rsidRPr="00877302">
        <w:rPr>
          <w:color w:val="FF0000"/>
        </w:rPr>
        <w:t xml:space="preserve">состояние </w:t>
      </w:r>
      <w:r w:rsidRPr="00877302">
        <w:rPr>
          <w:color w:val="FF0000"/>
        </w:rPr>
        <w:t>спутанност</w:t>
      </w:r>
      <w:r w:rsidR="00877302" w:rsidRPr="00877302">
        <w:rPr>
          <w:color w:val="FF0000"/>
        </w:rPr>
        <w:t>и</w:t>
      </w:r>
      <w:r w:rsidRPr="00877302">
        <w:rPr>
          <w:color w:val="FF0000"/>
        </w:rPr>
        <w:t xml:space="preserve"> </w:t>
      </w:r>
      <w:r w:rsidRPr="00A56D2E">
        <w:t>сознания, депрессия, галлюцинации, бессо</w:t>
      </w:r>
      <w:r w:rsidR="002724E0" w:rsidRPr="00A56D2E">
        <w:t>н</w:t>
      </w:r>
      <w:r w:rsidRPr="00A56D2E">
        <w:t>ница.</w:t>
      </w:r>
    </w:p>
    <w:p w14:paraId="631225BA" w14:textId="77777777" w:rsidR="00DB4199" w:rsidRPr="00A56D2E" w:rsidRDefault="00DB4199" w:rsidP="002724E0">
      <w:pPr>
        <w:jc w:val="both"/>
      </w:pPr>
      <w:r w:rsidRPr="00A56D2E">
        <w:rPr>
          <w:i/>
        </w:rPr>
        <w:t>Очень редкие:</w:t>
      </w:r>
      <w:r w:rsidRPr="00A56D2E">
        <w:t xml:space="preserve"> тик.</w:t>
      </w:r>
    </w:p>
    <w:p w14:paraId="4A3E489B" w14:textId="77777777" w:rsidR="00DB4199" w:rsidRPr="00FF2DDF" w:rsidRDefault="00DB4199" w:rsidP="002724E0">
      <w:pPr>
        <w:jc w:val="both"/>
        <w:rPr>
          <w:color w:val="7030A0"/>
        </w:rPr>
      </w:pPr>
      <w:r w:rsidRPr="00A56D2E">
        <w:rPr>
          <w:i/>
        </w:rPr>
        <w:t>Частота неизвестна</w:t>
      </w:r>
      <w:r w:rsidRPr="00A56D2E">
        <w:t>: суицидальные мысли</w:t>
      </w:r>
      <w:r w:rsidR="00FF2DDF">
        <w:t>,</w:t>
      </w:r>
      <w:r w:rsidR="00FF2DDF" w:rsidRPr="00FF2DDF">
        <w:t xml:space="preserve"> </w:t>
      </w:r>
      <w:r w:rsidR="00FF2DDF" w:rsidRPr="00FF2DDF">
        <w:rPr>
          <w:color w:val="7030A0"/>
        </w:rPr>
        <w:t>кошмарные сновидения</w:t>
      </w:r>
      <w:r w:rsidR="00877302" w:rsidRPr="00FF2DDF">
        <w:rPr>
          <w:color w:val="7030A0"/>
        </w:rPr>
        <w:t>.</w:t>
      </w:r>
    </w:p>
    <w:p w14:paraId="52743BB2" w14:textId="77777777" w:rsidR="00DB4199" w:rsidRPr="00A56D2E" w:rsidRDefault="00DB4199" w:rsidP="002724E0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Нарушения со стороны нервной системы </w:t>
      </w:r>
    </w:p>
    <w:p w14:paraId="50231040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Нечастые:</w:t>
      </w:r>
      <w:r w:rsidRPr="00A56D2E">
        <w:t xml:space="preserve"> пар</w:t>
      </w:r>
      <w:r w:rsidR="00F02039" w:rsidRPr="00A56D2E">
        <w:t>е</w:t>
      </w:r>
      <w:r w:rsidRPr="00A56D2E">
        <w:t>стезия</w:t>
      </w:r>
      <w:r w:rsidR="00877302" w:rsidRPr="00877302">
        <w:rPr>
          <w:color w:val="FF0000"/>
        </w:rPr>
        <w:t>.</w:t>
      </w:r>
    </w:p>
    <w:p w14:paraId="6C33595D" w14:textId="77777777" w:rsidR="00DB4199" w:rsidRPr="00A56D2E" w:rsidRDefault="00DB4199" w:rsidP="002724E0">
      <w:pPr>
        <w:autoSpaceDE w:val="0"/>
        <w:autoSpaceDN w:val="0"/>
        <w:adjustRightInd w:val="0"/>
        <w:jc w:val="both"/>
        <w:rPr>
          <w:i/>
        </w:rPr>
      </w:pPr>
      <w:r w:rsidRPr="00A56D2E">
        <w:rPr>
          <w:i/>
        </w:rPr>
        <w:t xml:space="preserve">Редкие: </w:t>
      </w:r>
      <w:r w:rsidRPr="00A56D2E">
        <w:t>судороги, нарушения движений</w:t>
      </w:r>
      <w:r w:rsidR="00877302" w:rsidRPr="00877302">
        <w:rPr>
          <w:color w:val="FF0000"/>
        </w:rPr>
        <w:t>.</w:t>
      </w:r>
      <w:r w:rsidRPr="00A56D2E">
        <w:rPr>
          <w:i/>
        </w:rPr>
        <w:t xml:space="preserve"> </w:t>
      </w:r>
    </w:p>
    <w:p w14:paraId="08F83721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Очень редкие:</w:t>
      </w:r>
      <w:r w:rsidRPr="00A56D2E">
        <w:t xml:space="preserve"> нарушения вкуса, синкоп</w:t>
      </w:r>
      <w:r w:rsidR="00F02039" w:rsidRPr="00A56D2E">
        <w:t>е</w:t>
      </w:r>
      <w:r w:rsidRPr="00A56D2E">
        <w:t>, тремор, дистония, дискинезия</w:t>
      </w:r>
      <w:r w:rsidR="00877302" w:rsidRPr="00877302">
        <w:rPr>
          <w:color w:val="FF0000"/>
        </w:rPr>
        <w:t>.</w:t>
      </w:r>
    </w:p>
    <w:p w14:paraId="3567A7A8" w14:textId="77777777" w:rsidR="00DB4199" w:rsidRPr="00A56D2E" w:rsidRDefault="00DB4199" w:rsidP="002724E0">
      <w:pPr>
        <w:autoSpaceDE w:val="0"/>
        <w:autoSpaceDN w:val="0"/>
        <w:adjustRightInd w:val="0"/>
        <w:jc w:val="both"/>
        <w:rPr>
          <w:strike/>
        </w:rPr>
      </w:pPr>
      <w:r w:rsidRPr="00A56D2E">
        <w:rPr>
          <w:i/>
        </w:rPr>
        <w:t>Частота неизвестна</w:t>
      </w:r>
      <w:r w:rsidRPr="00A56D2E">
        <w:t xml:space="preserve">: </w:t>
      </w:r>
      <w:r w:rsidR="007E316D" w:rsidRPr="000355E7">
        <w:t>онемение</w:t>
      </w:r>
      <w:r w:rsidR="007E316D">
        <w:t xml:space="preserve">, </w:t>
      </w:r>
      <w:r w:rsidRPr="00A56D2E">
        <w:t>амнезия, ухудшения памяти</w:t>
      </w:r>
      <w:r w:rsidR="00877302" w:rsidRPr="00877302">
        <w:rPr>
          <w:color w:val="FF0000"/>
        </w:rPr>
        <w:t>.</w:t>
      </w:r>
    </w:p>
    <w:p w14:paraId="6497BA7C" w14:textId="77777777" w:rsidR="00DB4199" w:rsidRDefault="00DB4199" w:rsidP="002724E0">
      <w:pPr>
        <w:spacing w:before="120"/>
        <w:jc w:val="both"/>
        <w:rPr>
          <w:u w:val="single"/>
        </w:rPr>
      </w:pPr>
      <w:r w:rsidRPr="00A56D2E">
        <w:rPr>
          <w:u w:val="single"/>
        </w:rPr>
        <w:t xml:space="preserve">Нарушения со стороны органа зрения </w:t>
      </w:r>
    </w:p>
    <w:p w14:paraId="2BDA1AD0" w14:textId="77777777" w:rsidR="00DB4199" w:rsidRDefault="00DB4199" w:rsidP="002724E0">
      <w:pPr>
        <w:autoSpaceDE w:val="0"/>
        <w:autoSpaceDN w:val="0"/>
        <w:adjustRightInd w:val="0"/>
        <w:jc w:val="both"/>
        <w:rPr>
          <w:color w:val="FF0000"/>
        </w:rPr>
      </w:pPr>
      <w:r w:rsidRPr="00A56D2E">
        <w:rPr>
          <w:i/>
        </w:rPr>
        <w:t>Очень редкие:</w:t>
      </w:r>
      <w:r w:rsidRPr="00A56D2E">
        <w:t xml:space="preserve"> нарушение зрительной аккомодации,</w:t>
      </w:r>
      <w:r w:rsidRPr="00A56D2E">
        <w:rPr>
          <w:i/>
        </w:rPr>
        <w:t xml:space="preserve"> </w:t>
      </w:r>
      <w:r w:rsidRPr="00A56D2E">
        <w:t>неч</w:t>
      </w:r>
      <w:r w:rsidR="00A37B0E" w:rsidRPr="00A37B0E">
        <w:rPr>
          <w:color w:val="FF0000"/>
        </w:rPr>
        <w:t>е</w:t>
      </w:r>
      <w:r w:rsidRPr="00A56D2E">
        <w:t xml:space="preserve">ткость зрения, </w:t>
      </w:r>
      <w:proofErr w:type="spellStart"/>
      <w:r w:rsidRPr="00A56D2E">
        <w:t>окулогирный</w:t>
      </w:r>
      <w:proofErr w:type="spellEnd"/>
      <w:r w:rsidRPr="00A56D2E">
        <w:t xml:space="preserve"> синдром</w:t>
      </w:r>
      <w:r w:rsidR="00877302" w:rsidRPr="00877302">
        <w:rPr>
          <w:color w:val="FF0000"/>
        </w:rPr>
        <w:t>.</w:t>
      </w:r>
    </w:p>
    <w:p w14:paraId="69436963" w14:textId="77777777" w:rsidR="00FF2DDF" w:rsidRPr="00FF2DDF" w:rsidRDefault="00FF2DDF" w:rsidP="002724E0">
      <w:pPr>
        <w:autoSpaceDE w:val="0"/>
        <w:autoSpaceDN w:val="0"/>
        <w:adjustRightInd w:val="0"/>
        <w:jc w:val="both"/>
        <w:rPr>
          <w:color w:val="7030A0"/>
        </w:rPr>
      </w:pPr>
      <w:r w:rsidRPr="00FF2DDF">
        <w:rPr>
          <w:i/>
          <w:color w:val="7030A0"/>
        </w:rPr>
        <w:t>Частота неизвестна</w:t>
      </w:r>
      <w:r w:rsidRPr="00FF2DDF">
        <w:rPr>
          <w:color w:val="7030A0"/>
        </w:rPr>
        <w:t xml:space="preserve">: </w:t>
      </w:r>
      <w:proofErr w:type="spellStart"/>
      <w:r w:rsidRPr="00FF2DDF">
        <w:rPr>
          <w:color w:val="7030A0"/>
        </w:rPr>
        <w:t>васкулит</w:t>
      </w:r>
      <w:proofErr w:type="spellEnd"/>
      <w:r>
        <w:rPr>
          <w:color w:val="7030A0"/>
        </w:rPr>
        <w:t>.</w:t>
      </w:r>
    </w:p>
    <w:p w14:paraId="5A2EF446" w14:textId="77777777" w:rsidR="00DB4199" w:rsidRPr="00A56D2E" w:rsidRDefault="00DB4199" w:rsidP="002724E0">
      <w:pPr>
        <w:autoSpaceDE w:val="0"/>
        <w:autoSpaceDN w:val="0"/>
        <w:adjustRightInd w:val="0"/>
        <w:spacing w:before="120"/>
        <w:jc w:val="both"/>
        <w:rPr>
          <w:u w:val="single"/>
        </w:rPr>
      </w:pPr>
      <w:r w:rsidRPr="00A56D2E">
        <w:rPr>
          <w:u w:val="single"/>
        </w:rPr>
        <w:t>Нарушения со стороны органа слуха и лабиринтные нарушения</w:t>
      </w:r>
    </w:p>
    <w:p w14:paraId="565DFE31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Частота неизвестна</w:t>
      </w:r>
      <w:r w:rsidRPr="00A56D2E">
        <w:t>: головокружение центрального типа (</w:t>
      </w:r>
      <w:proofErr w:type="spellStart"/>
      <w:r w:rsidRPr="00A56D2E">
        <w:t>вертиго</w:t>
      </w:r>
      <w:proofErr w:type="spellEnd"/>
      <w:r w:rsidRPr="00A56D2E">
        <w:t>)</w:t>
      </w:r>
      <w:r w:rsidR="00877302" w:rsidRPr="00877302">
        <w:rPr>
          <w:color w:val="FF0000"/>
        </w:rPr>
        <w:t>.</w:t>
      </w:r>
    </w:p>
    <w:p w14:paraId="6EED72B1" w14:textId="77777777" w:rsidR="00DB4199" w:rsidRPr="00A56D2E" w:rsidRDefault="00DB4199" w:rsidP="002724E0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Нарушения со стороны сердца </w:t>
      </w:r>
    </w:p>
    <w:p w14:paraId="2655E8CA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Редкие:</w:t>
      </w:r>
      <w:r w:rsidRPr="00A56D2E">
        <w:t xml:space="preserve"> тахикардия</w:t>
      </w:r>
      <w:r w:rsidR="00877302" w:rsidRPr="00877302">
        <w:rPr>
          <w:color w:val="FF0000"/>
        </w:rPr>
        <w:t>.</w:t>
      </w:r>
      <w:r w:rsidRPr="00877302">
        <w:rPr>
          <w:color w:val="FF0000"/>
        </w:rPr>
        <w:t xml:space="preserve"> </w:t>
      </w:r>
    </w:p>
    <w:p w14:paraId="48D043DB" w14:textId="77777777" w:rsidR="00DB4199" w:rsidRPr="00A56D2E" w:rsidRDefault="00DB4199" w:rsidP="002724E0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Нарушения со стороны желудочно-кишечного тракта </w:t>
      </w:r>
    </w:p>
    <w:p w14:paraId="78C8046B" w14:textId="77777777" w:rsidR="00223257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 xml:space="preserve">Нечастые: </w:t>
      </w:r>
      <w:r w:rsidR="00F02039" w:rsidRPr="00A56D2E">
        <w:t>диарея</w:t>
      </w:r>
      <w:r w:rsidR="006F641E" w:rsidRPr="006F641E">
        <w:rPr>
          <w:color w:val="FF0000"/>
        </w:rPr>
        <w:t>.</w:t>
      </w:r>
    </w:p>
    <w:p w14:paraId="2C5E713C" w14:textId="77777777" w:rsidR="00DB4199" w:rsidRPr="00A56D2E" w:rsidRDefault="00DB4199" w:rsidP="002724E0">
      <w:pPr>
        <w:autoSpaceDE w:val="0"/>
        <w:autoSpaceDN w:val="0"/>
        <w:adjustRightInd w:val="0"/>
        <w:spacing w:before="120"/>
        <w:jc w:val="both"/>
        <w:rPr>
          <w:u w:val="single"/>
        </w:rPr>
      </w:pPr>
      <w:r w:rsidRPr="00A56D2E">
        <w:rPr>
          <w:u w:val="single"/>
        </w:rPr>
        <w:t xml:space="preserve">Нарушения со стороны печени и желчевыводящих путей </w:t>
      </w:r>
    </w:p>
    <w:p w14:paraId="3E2AE815" w14:textId="77777777" w:rsidR="002724E0" w:rsidRPr="00A56D2E" w:rsidRDefault="00DB4199" w:rsidP="002724E0">
      <w:pPr>
        <w:tabs>
          <w:tab w:val="num" w:pos="-1440"/>
        </w:tabs>
        <w:jc w:val="both"/>
      </w:pPr>
      <w:r w:rsidRPr="00A56D2E">
        <w:rPr>
          <w:i/>
        </w:rPr>
        <w:t>Редкие:</w:t>
      </w:r>
      <w:r w:rsidR="00F02039" w:rsidRPr="00A56D2E">
        <w:rPr>
          <w:i/>
        </w:rPr>
        <w:t xml:space="preserve"> </w:t>
      </w:r>
      <w:r w:rsidR="007E316D" w:rsidRPr="005B10C2">
        <w:rPr>
          <w:color w:val="FF0000"/>
        </w:rPr>
        <w:t>измене</w:t>
      </w:r>
      <w:r w:rsidR="00F02039" w:rsidRPr="005B10C2">
        <w:rPr>
          <w:color w:val="FF0000"/>
        </w:rPr>
        <w:t>ния</w:t>
      </w:r>
      <w:r w:rsidR="00F02039" w:rsidRPr="007E316D">
        <w:rPr>
          <w:color w:val="FF0000"/>
        </w:rPr>
        <w:t xml:space="preserve"> </w:t>
      </w:r>
      <w:r w:rsidRPr="00A56D2E">
        <w:t>функции печени (повышение т</w:t>
      </w:r>
      <w:r w:rsidR="002724E0" w:rsidRPr="00A56D2E">
        <w:t xml:space="preserve">рансаминаз, щелочной фосфатазы, </w:t>
      </w:r>
    </w:p>
    <w:p w14:paraId="0F164CF1" w14:textId="77777777" w:rsidR="00DB4199" w:rsidRDefault="00DB4199" w:rsidP="002724E0">
      <w:pPr>
        <w:tabs>
          <w:tab w:val="num" w:pos="-1440"/>
        </w:tabs>
        <w:jc w:val="both"/>
        <w:rPr>
          <w:color w:val="FF0000"/>
        </w:rPr>
      </w:pPr>
      <w:r w:rsidRPr="00A56D2E">
        <w:t>γ-ГТ и билирубина)</w:t>
      </w:r>
      <w:r w:rsidR="006F641E" w:rsidRPr="006F641E">
        <w:rPr>
          <w:color w:val="FF0000"/>
        </w:rPr>
        <w:t>.</w:t>
      </w:r>
    </w:p>
    <w:p w14:paraId="65926ED3" w14:textId="77777777" w:rsidR="00D10923" w:rsidRPr="00D10923" w:rsidRDefault="00D10923" w:rsidP="002724E0">
      <w:pPr>
        <w:tabs>
          <w:tab w:val="num" w:pos="-1440"/>
        </w:tabs>
        <w:jc w:val="both"/>
        <w:rPr>
          <w:color w:val="7030A0"/>
        </w:rPr>
      </w:pPr>
      <w:r w:rsidRPr="00D10923">
        <w:rPr>
          <w:i/>
          <w:color w:val="7030A0"/>
        </w:rPr>
        <w:t>Частота неизвестна</w:t>
      </w:r>
      <w:r w:rsidRPr="00D10923">
        <w:rPr>
          <w:color w:val="7030A0"/>
        </w:rPr>
        <w:t>: гепатит.</w:t>
      </w:r>
    </w:p>
    <w:p w14:paraId="3DB2741D" w14:textId="77777777" w:rsidR="00DB4199" w:rsidRPr="00A56D2E" w:rsidRDefault="00DB4199" w:rsidP="002724E0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Нарушения со стороны кожи и подкожных тканей </w:t>
      </w:r>
    </w:p>
    <w:p w14:paraId="021D3FC0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Нечастые:</w:t>
      </w:r>
      <w:r w:rsidRPr="00A56D2E">
        <w:t xml:space="preserve"> зуд, сыпь</w:t>
      </w:r>
      <w:r w:rsidR="006F641E" w:rsidRPr="006F641E">
        <w:rPr>
          <w:color w:val="FF0000"/>
        </w:rPr>
        <w:t>.</w:t>
      </w:r>
    </w:p>
    <w:p w14:paraId="3723599B" w14:textId="77777777" w:rsidR="00DB4199" w:rsidRPr="00A56D2E" w:rsidRDefault="00DB4199" w:rsidP="002724E0">
      <w:pPr>
        <w:autoSpaceDE w:val="0"/>
        <w:autoSpaceDN w:val="0"/>
        <w:adjustRightInd w:val="0"/>
        <w:jc w:val="both"/>
      </w:pPr>
      <w:r w:rsidRPr="00A56D2E">
        <w:rPr>
          <w:i/>
        </w:rPr>
        <w:t>Редкие:</w:t>
      </w:r>
      <w:r w:rsidRPr="00A56D2E">
        <w:t xml:space="preserve"> крапивница</w:t>
      </w:r>
      <w:r w:rsidR="006F641E" w:rsidRPr="006F641E">
        <w:rPr>
          <w:color w:val="FF0000"/>
        </w:rPr>
        <w:t>.</w:t>
      </w:r>
    </w:p>
    <w:p w14:paraId="62315345" w14:textId="77777777" w:rsidR="00FF2DDF" w:rsidRDefault="00DB4199" w:rsidP="001B5AE8">
      <w:pPr>
        <w:autoSpaceDE w:val="0"/>
        <w:autoSpaceDN w:val="0"/>
        <w:adjustRightInd w:val="0"/>
        <w:jc w:val="both"/>
        <w:rPr>
          <w:color w:val="FF0000"/>
        </w:rPr>
      </w:pPr>
      <w:r w:rsidRPr="00A56D2E">
        <w:rPr>
          <w:i/>
        </w:rPr>
        <w:t>Очень редкие:</w:t>
      </w:r>
      <w:r w:rsidR="00891A3D">
        <w:t xml:space="preserve"> ангионе</w:t>
      </w:r>
      <w:r w:rsidRPr="00A56D2E">
        <w:t>вротический от</w:t>
      </w:r>
      <w:r w:rsidR="00A37B0E" w:rsidRPr="00A37B0E">
        <w:rPr>
          <w:color w:val="FF0000"/>
        </w:rPr>
        <w:t>е</w:t>
      </w:r>
      <w:r w:rsidRPr="00A56D2E">
        <w:t xml:space="preserve">к, </w:t>
      </w:r>
      <w:r w:rsidR="00891A3D" w:rsidRPr="00A56D2E">
        <w:t>фиксирова</w:t>
      </w:r>
      <w:r w:rsidR="00891A3D" w:rsidRPr="00891A3D">
        <w:rPr>
          <w:color w:val="FF0000"/>
        </w:rPr>
        <w:t>нн</w:t>
      </w:r>
      <w:r w:rsidR="00891A3D" w:rsidRPr="00A56D2E">
        <w:t>ая</w:t>
      </w:r>
      <w:r w:rsidRPr="00A56D2E">
        <w:t xml:space="preserve"> эритема</w:t>
      </w:r>
      <w:r w:rsidR="006F641E" w:rsidRPr="006F641E">
        <w:rPr>
          <w:color w:val="FF0000"/>
        </w:rPr>
        <w:t>.</w:t>
      </w:r>
    </w:p>
    <w:p w14:paraId="1954653F" w14:textId="77777777" w:rsidR="00DB4199" w:rsidRPr="00FF2DDF" w:rsidRDefault="00FF2DDF" w:rsidP="001B5AE8">
      <w:pPr>
        <w:autoSpaceDE w:val="0"/>
        <w:autoSpaceDN w:val="0"/>
        <w:adjustRightInd w:val="0"/>
        <w:jc w:val="both"/>
        <w:rPr>
          <w:color w:val="7030A0"/>
        </w:rPr>
      </w:pPr>
      <w:r w:rsidRPr="00FF2DDF">
        <w:rPr>
          <w:i/>
          <w:color w:val="7030A0"/>
        </w:rPr>
        <w:t>Частота неизвестна</w:t>
      </w:r>
      <w:r w:rsidRPr="00FF2DDF">
        <w:rPr>
          <w:color w:val="7030A0"/>
        </w:rPr>
        <w:t xml:space="preserve">: острый генерализованный </w:t>
      </w:r>
      <w:proofErr w:type="spellStart"/>
      <w:r w:rsidRPr="00FF2DDF">
        <w:rPr>
          <w:color w:val="7030A0"/>
        </w:rPr>
        <w:t>пустулез</w:t>
      </w:r>
      <w:proofErr w:type="spellEnd"/>
      <w:r w:rsidRPr="00FF2DDF">
        <w:rPr>
          <w:color w:val="7030A0"/>
        </w:rPr>
        <w:t>.</w:t>
      </w:r>
      <w:r w:rsidR="00DB4199" w:rsidRPr="00FF2DDF">
        <w:rPr>
          <w:color w:val="7030A0"/>
        </w:rPr>
        <w:t xml:space="preserve"> </w:t>
      </w:r>
    </w:p>
    <w:p w14:paraId="55BCD9EF" w14:textId="77777777" w:rsidR="00F02039" w:rsidRPr="00A56D2E" w:rsidRDefault="00F02039" w:rsidP="0034509A">
      <w:pPr>
        <w:spacing w:before="120"/>
        <w:jc w:val="both"/>
        <w:rPr>
          <w:u w:val="single"/>
        </w:rPr>
      </w:pPr>
      <w:r w:rsidRPr="00A56D2E">
        <w:rPr>
          <w:u w:val="single"/>
        </w:rPr>
        <w:t>Нарушения со стороны скелетно-мышечной и соединительной ткани</w:t>
      </w:r>
    </w:p>
    <w:p w14:paraId="49017A91" w14:textId="77777777" w:rsidR="00F02039" w:rsidRPr="00A56D2E" w:rsidRDefault="00F02039" w:rsidP="001B5AE8">
      <w:pPr>
        <w:autoSpaceDE w:val="0"/>
        <w:autoSpaceDN w:val="0"/>
        <w:adjustRightInd w:val="0"/>
        <w:jc w:val="both"/>
      </w:pPr>
      <w:r w:rsidRPr="00A56D2E">
        <w:rPr>
          <w:i/>
        </w:rPr>
        <w:t>Частота неизвестна</w:t>
      </w:r>
      <w:r w:rsidRPr="00A56D2E">
        <w:t>: артралгия</w:t>
      </w:r>
    </w:p>
    <w:p w14:paraId="58C7F739" w14:textId="77777777" w:rsidR="00DB4199" w:rsidRPr="00A56D2E" w:rsidRDefault="00DB4199" w:rsidP="001B5AE8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Нарушения со стороны почек и мочевыводящих путей </w:t>
      </w:r>
    </w:p>
    <w:p w14:paraId="0A642ACA" w14:textId="77777777" w:rsidR="00DB4199" w:rsidRPr="00A56D2E" w:rsidRDefault="00DB4199" w:rsidP="001B5AE8">
      <w:pPr>
        <w:autoSpaceDE w:val="0"/>
        <w:autoSpaceDN w:val="0"/>
        <w:adjustRightInd w:val="0"/>
        <w:jc w:val="both"/>
      </w:pPr>
      <w:r w:rsidRPr="00A56D2E">
        <w:rPr>
          <w:i/>
        </w:rPr>
        <w:t>Очень редкие:</w:t>
      </w:r>
      <w:r w:rsidR="00F02039" w:rsidRPr="00A56D2E">
        <w:rPr>
          <w:i/>
        </w:rPr>
        <w:t xml:space="preserve"> </w:t>
      </w:r>
      <w:r w:rsidRPr="00A56D2E">
        <w:t>дизурия, энурез</w:t>
      </w:r>
      <w:r w:rsidR="006F641E" w:rsidRPr="006F641E">
        <w:rPr>
          <w:color w:val="FF0000"/>
        </w:rPr>
        <w:t>.</w:t>
      </w:r>
    </w:p>
    <w:p w14:paraId="3FCA3C22" w14:textId="77777777" w:rsidR="00DB4199" w:rsidRPr="00A56D2E" w:rsidRDefault="00DB4199" w:rsidP="001B5AE8">
      <w:pPr>
        <w:autoSpaceDE w:val="0"/>
        <w:autoSpaceDN w:val="0"/>
        <w:adjustRightInd w:val="0"/>
        <w:jc w:val="both"/>
      </w:pPr>
      <w:r w:rsidRPr="00A56D2E">
        <w:rPr>
          <w:i/>
        </w:rPr>
        <w:lastRenderedPageBreak/>
        <w:t>Частота неизвестна</w:t>
      </w:r>
      <w:r w:rsidRPr="00A56D2E">
        <w:t>: задержка мочи</w:t>
      </w:r>
      <w:r w:rsidR="006F641E" w:rsidRPr="006F641E">
        <w:rPr>
          <w:color w:val="FF0000"/>
        </w:rPr>
        <w:t>.</w:t>
      </w:r>
    </w:p>
    <w:p w14:paraId="4C71B965" w14:textId="77777777" w:rsidR="00DB4199" w:rsidRPr="00A56D2E" w:rsidRDefault="00DB4199" w:rsidP="001B5AE8">
      <w:pPr>
        <w:spacing w:before="120"/>
        <w:jc w:val="both"/>
        <w:rPr>
          <w:bCs/>
          <w:u w:val="single"/>
        </w:rPr>
      </w:pPr>
      <w:r w:rsidRPr="00A56D2E">
        <w:rPr>
          <w:u w:val="single"/>
        </w:rPr>
        <w:t xml:space="preserve">Общие расстройства и нарушения в месте введения </w:t>
      </w:r>
    </w:p>
    <w:p w14:paraId="41E237C0" w14:textId="77777777" w:rsidR="00DB4199" w:rsidRPr="00A56D2E" w:rsidRDefault="00DB4199" w:rsidP="001B5AE8">
      <w:pPr>
        <w:jc w:val="both"/>
      </w:pPr>
      <w:r w:rsidRPr="00A56D2E">
        <w:rPr>
          <w:i/>
        </w:rPr>
        <w:t xml:space="preserve">Нечастые: </w:t>
      </w:r>
      <w:r w:rsidRPr="00A56D2E">
        <w:t>астения, плохое самочувствие</w:t>
      </w:r>
      <w:r w:rsidR="006F641E" w:rsidRPr="006F641E">
        <w:rPr>
          <w:color w:val="FF0000"/>
        </w:rPr>
        <w:t>.</w:t>
      </w:r>
    </w:p>
    <w:p w14:paraId="1E819559" w14:textId="77777777" w:rsidR="00DB4199" w:rsidRPr="00A56D2E" w:rsidRDefault="00DB4199" w:rsidP="001B5AE8">
      <w:pPr>
        <w:jc w:val="both"/>
      </w:pPr>
      <w:r w:rsidRPr="00A56D2E">
        <w:rPr>
          <w:i/>
        </w:rPr>
        <w:t>Редкие:</w:t>
      </w:r>
      <w:r w:rsidRPr="00A56D2E">
        <w:t xml:space="preserve"> от</w:t>
      </w:r>
      <w:r w:rsidR="00A37B0E" w:rsidRPr="00A37B0E">
        <w:rPr>
          <w:color w:val="FF0000"/>
        </w:rPr>
        <w:t>е</w:t>
      </w:r>
      <w:r w:rsidRPr="00A56D2E">
        <w:t>ки</w:t>
      </w:r>
      <w:r w:rsidR="006F641E" w:rsidRPr="006F641E">
        <w:rPr>
          <w:color w:val="FF0000"/>
        </w:rPr>
        <w:t>.</w:t>
      </w:r>
    </w:p>
    <w:p w14:paraId="6C4B2D94" w14:textId="77777777" w:rsidR="00DB4199" w:rsidRPr="00A56D2E" w:rsidRDefault="00DB4199" w:rsidP="001B5AE8">
      <w:pPr>
        <w:spacing w:before="120"/>
        <w:jc w:val="both"/>
        <w:rPr>
          <w:rFonts w:eastAsia="MS Mincho"/>
          <w:bCs/>
          <w:u w:val="single"/>
        </w:rPr>
      </w:pPr>
      <w:r w:rsidRPr="00A56D2E">
        <w:rPr>
          <w:u w:val="single"/>
        </w:rPr>
        <w:t xml:space="preserve">Влияние на результаты лабораторных и инструментальных </w:t>
      </w:r>
      <w:proofErr w:type="spellStart"/>
      <w:r w:rsidRPr="00A56D2E">
        <w:rPr>
          <w:u w:val="single"/>
        </w:rPr>
        <w:t>исседований</w:t>
      </w:r>
      <w:proofErr w:type="spellEnd"/>
    </w:p>
    <w:p w14:paraId="1B207417" w14:textId="77777777" w:rsidR="00DB4199" w:rsidRPr="00A56D2E" w:rsidRDefault="00DB4199" w:rsidP="001B5AE8">
      <w:pPr>
        <w:autoSpaceDE w:val="0"/>
        <w:autoSpaceDN w:val="0"/>
        <w:adjustRightInd w:val="0"/>
        <w:snapToGrid w:val="0"/>
      </w:pPr>
      <w:r w:rsidRPr="00A56D2E">
        <w:rPr>
          <w:i/>
        </w:rPr>
        <w:t>Редкие:</w:t>
      </w:r>
      <w:r w:rsidRPr="00A56D2E">
        <w:t xml:space="preserve"> увеличение массы тела.</w:t>
      </w:r>
    </w:p>
    <w:p w14:paraId="47124A6E" w14:textId="77777777" w:rsidR="00A94C58" w:rsidRPr="00A56D2E" w:rsidRDefault="00A94C58" w:rsidP="0034509A">
      <w:pPr>
        <w:spacing w:before="120"/>
        <w:jc w:val="both"/>
        <w:rPr>
          <w:u w:val="single"/>
        </w:rPr>
      </w:pPr>
      <w:r w:rsidRPr="00A56D2E">
        <w:rPr>
          <w:u w:val="single"/>
        </w:rPr>
        <w:t>Описание избранных побочных реакций</w:t>
      </w:r>
    </w:p>
    <w:p w14:paraId="23BE4105" w14:textId="77777777" w:rsidR="00A94C58" w:rsidRPr="00A56D2E" w:rsidRDefault="00A94C58" w:rsidP="0034509A">
      <w:pPr>
        <w:autoSpaceDE w:val="0"/>
        <w:autoSpaceDN w:val="0"/>
        <w:adjustRightInd w:val="0"/>
        <w:snapToGrid w:val="0"/>
        <w:jc w:val="both"/>
      </w:pPr>
      <w:r w:rsidRPr="00A56D2E">
        <w:t xml:space="preserve">После отмены </w:t>
      </w:r>
      <w:proofErr w:type="spellStart"/>
      <w:r w:rsidRPr="00A56D2E">
        <w:t>цетиризина</w:t>
      </w:r>
      <w:proofErr w:type="spellEnd"/>
      <w:r w:rsidRPr="00A56D2E">
        <w:t xml:space="preserve"> поступали сообщения о  возникновении сильного зуда и/или крапивницы.</w:t>
      </w:r>
    </w:p>
    <w:p w14:paraId="54D1153D" w14:textId="77777777" w:rsidR="00A94C58" w:rsidRPr="00A56D2E" w:rsidRDefault="00A94C58" w:rsidP="00005039">
      <w:pPr>
        <w:tabs>
          <w:tab w:val="left" w:pos="567"/>
        </w:tabs>
        <w:autoSpaceDE w:val="0"/>
        <w:autoSpaceDN w:val="0"/>
        <w:adjustRightInd w:val="0"/>
        <w:spacing w:before="120" w:line="260" w:lineRule="exact"/>
        <w:jc w:val="both"/>
        <w:rPr>
          <w:b/>
        </w:rPr>
      </w:pPr>
      <w:r w:rsidRPr="00A56D2E">
        <w:rPr>
          <w:b/>
        </w:rPr>
        <w:t>Сообщение о побочных реакциях</w:t>
      </w:r>
    </w:p>
    <w:p w14:paraId="74289661" w14:textId="77777777" w:rsidR="00A94C58" w:rsidRPr="00A56D2E" w:rsidDel="001630A5" w:rsidRDefault="00A94C58" w:rsidP="0034509A">
      <w:pPr>
        <w:jc w:val="both"/>
      </w:pPr>
      <w:r w:rsidRPr="00A56D2E">
        <w:t xml:space="preserve">Предоставление данных о предполагаемых побочных реакциях препарата является очень важным моментом, позволяющим  осуществлять непрерывный мониторинг соотношения риск/польза лекарственного средства. Медицинским работникам </w:t>
      </w:r>
      <w:r w:rsidR="00CF64CA" w:rsidRPr="00A56D2E">
        <w:t>следует предоставлять</w:t>
      </w:r>
      <w:r w:rsidRPr="00A56D2E">
        <w:t xml:space="preserve"> информацию о любых предполагаемых неблагоприятных реакциях по указанным в конце инструкции контактам</w:t>
      </w:r>
      <w:r w:rsidR="00CF64CA">
        <w:t xml:space="preserve"> </w:t>
      </w:r>
      <w:r w:rsidR="00CF64CA" w:rsidRPr="00CF64CA">
        <w:rPr>
          <w:color w:val="7030A0"/>
        </w:rPr>
        <w:t>(см. раздел 7)</w:t>
      </w:r>
      <w:r w:rsidRPr="00CF64CA">
        <w:rPr>
          <w:color w:val="7030A0"/>
        </w:rPr>
        <w:t xml:space="preserve">, </w:t>
      </w:r>
      <w:r w:rsidRPr="00A56D2E">
        <w:t>а также через национальную систему сбора информации.</w:t>
      </w:r>
    </w:p>
    <w:p w14:paraId="541E038B" w14:textId="77777777" w:rsidR="00A67D67" w:rsidRPr="00A56D2E" w:rsidRDefault="00A67D67" w:rsidP="00A67D67">
      <w:pPr>
        <w:autoSpaceDE w:val="0"/>
        <w:autoSpaceDN w:val="0"/>
        <w:adjustRightInd w:val="0"/>
        <w:snapToGrid w:val="0"/>
        <w:rPr>
          <w:rFonts w:eastAsia="MS Mincho"/>
          <w:bCs/>
        </w:rPr>
      </w:pPr>
    </w:p>
    <w:p w14:paraId="1E7AD286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>4.9. Симптомы передозировки и меры по оказанию помощи при передозировк</w:t>
      </w:r>
      <w:r w:rsidRPr="006F641E">
        <w:rPr>
          <w:b/>
          <w:color w:val="FF0000"/>
        </w:rPr>
        <w:t>е</w:t>
      </w:r>
    </w:p>
    <w:p w14:paraId="68EB2F27" w14:textId="77777777" w:rsidR="00DB4199" w:rsidRPr="00A56D2E" w:rsidRDefault="00DB4199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t>Симптомы передозировки</w:t>
      </w:r>
    </w:p>
    <w:p w14:paraId="217CC828" w14:textId="77777777" w:rsidR="00DB4199" w:rsidRPr="00A56D2E" w:rsidRDefault="00DB4199" w:rsidP="00F07BFC">
      <w:pPr>
        <w:jc w:val="both"/>
      </w:pPr>
      <w:r w:rsidRPr="00A56D2E">
        <w:t xml:space="preserve">Симптомы, наблюдаемые при передозировке </w:t>
      </w:r>
      <w:proofErr w:type="spellStart"/>
      <w:r w:rsidRPr="00A56D2E">
        <w:t>цетиризина</w:t>
      </w:r>
      <w:proofErr w:type="spellEnd"/>
      <w:r w:rsidRPr="00A56D2E">
        <w:t xml:space="preserve">, обычно связаны с его влиянием на ЦНС или с эффектами, предполагающими </w:t>
      </w:r>
      <w:proofErr w:type="spellStart"/>
      <w:r w:rsidRPr="00A56D2E">
        <w:t>антихолинэргическую</w:t>
      </w:r>
      <w:proofErr w:type="spellEnd"/>
      <w:r w:rsidRPr="00A56D2E">
        <w:t xml:space="preserve"> активность.</w:t>
      </w:r>
    </w:p>
    <w:p w14:paraId="4B1769F7" w14:textId="77777777" w:rsidR="00DB4199" w:rsidRPr="00A56D2E" w:rsidRDefault="00DB4199" w:rsidP="001B5AE8">
      <w:pPr>
        <w:spacing w:before="120"/>
        <w:jc w:val="both"/>
      </w:pPr>
      <w:r w:rsidRPr="00A56D2E">
        <w:t>Следующие побочные реакции, были зарегистрированы после при</w:t>
      </w:r>
      <w:r w:rsidR="00A37B0E" w:rsidRPr="00A37B0E">
        <w:rPr>
          <w:color w:val="FF0000"/>
        </w:rPr>
        <w:t>е</w:t>
      </w:r>
      <w:r w:rsidRPr="00A56D2E">
        <w:t xml:space="preserve">ма дозы </w:t>
      </w:r>
      <w:proofErr w:type="spellStart"/>
      <w:r w:rsidRPr="00A56D2E">
        <w:t>цетиризина</w:t>
      </w:r>
      <w:proofErr w:type="spellEnd"/>
      <w:r w:rsidRPr="00A56D2E">
        <w:t xml:space="preserve"> в 5 раз превышающей рекомендуемую суточную дозу: спутанность сознания, </w:t>
      </w:r>
      <w:r w:rsidR="007B4792" w:rsidRPr="00DB5426">
        <w:t>диарея</w:t>
      </w:r>
      <w:r w:rsidRPr="00A56D2E">
        <w:t xml:space="preserve">, головокружение, усталость, плохое самочувствие, </w:t>
      </w:r>
      <w:proofErr w:type="spellStart"/>
      <w:r w:rsidRPr="00A56D2E">
        <w:t>мидриаз</w:t>
      </w:r>
      <w:proofErr w:type="spellEnd"/>
      <w:r w:rsidRPr="00A56D2E">
        <w:t xml:space="preserve">, зуд, беспокойство, </w:t>
      </w:r>
      <w:proofErr w:type="spellStart"/>
      <w:r w:rsidRPr="00A56D2E">
        <w:t>седация</w:t>
      </w:r>
      <w:proofErr w:type="spellEnd"/>
      <w:r w:rsidRPr="00A56D2E">
        <w:t>. Сонливость, ступор,</w:t>
      </w:r>
      <w:r w:rsidR="002724E0" w:rsidRPr="00A56D2E">
        <w:t xml:space="preserve"> </w:t>
      </w:r>
      <w:r w:rsidRPr="00A56D2E">
        <w:t>тахикардия, тремор и задержка мочи.</w:t>
      </w:r>
    </w:p>
    <w:p w14:paraId="5C4914DA" w14:textId="77777777" w:rsidR="00DB4199" w:rsidRPr="00A56D2E" w:rsidRDefault="00DB4199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t>Лечение</w:t>
      </w:r>
    </w:p>
    <w:p w14:paraId="7AB1CD27" w14:textId="77777777" w:rsidR="00DB4199" w:rsidRPr="00A56D2E" w:rsidRDefault="00DB4199" w:rsidP="00F07BFC">
      <w:pPr>
        <w:jc w:val="both"/>
      </w:pPr>
      <w:r w:rsidRPr="00A56D2E">
        <w:t xml:space="preserve">Специфического антидота к </w:t>
      </w:r>
      <w:proofErr w:type="spellStart"/>
      <w:r w:rsidRPr="00A56D2E">
        <w:t>цетиризину</w:t>
      </w:r>
      <w:proofErr w:type="spellEnd"/>
      <w:r w:rsidRPr="00A56D2E">
        <w:t xml:space="preserve"> нет.</w:t>
      </w:r>
    </w:p>
    <w:p w14:paraId="121848D5" w14:textId="77777777" w:rsidR="00DB4199" w:rsidRPr="00A56D2E" w:rsidRDefault="00DB4199" w:rsidP="001B5AE8">
      <w:pPr>
        <w:spacing w:before="120"/>
        <w:jc w:val="both"/>
      </w:pPr>
      <w:r w:rsidRPr="00A56D2E">
        <w:t>При передозировке рекомендуется проведение симптоматической и поддерживающей терапии. Промывание желудка может иметь смысл, только если преп</w:t>
      </w:r>
      <w:r w:rsidR="002724E0" w:rsidRPr="00A56D2E">
        <w:t>а</w:t>
      </w:r>
      <w:r w:rsidRPr="00A56D2E">
        <w:t>рат был принят незадолго до этого.</w:t>
      </w:r>
    </w:p>
    <w:p w14:paraId="48AECA00" w14:textId="77777777" w:rsidR="00DB4199" w:rsidRPr="00A56D2E" w:rsidRDefault="002724E0" w:rsidP="001B5AE8">
      <w:pPr>
        <w:spacing w:before="120"/>
        <w:jc w:val="both"/>
      </w:pPr>
      <w:r w:rsidRPr="00A56D2E">
        <w:t>Гемодиализ не</w:t>
      </w:r>
      <w:r w:rsidR="00DB4199" w:rsidRPr="00A56D2E">
        <w:t xml:space="preserve">эффективен для выведения </w:t>
      </w:r>
      <w:proofErr w:type="spellStart"/>
      <w:r w:rsidR="00DB4199" w:rsidRPr="00A56D2E">
        <w:t>цетиризина</w:t>
      </w:r>
      <w:proofErr w:type="spellEnd"/>
      <w:r w:rsidR="00DB4199" w:rsidRPr="00A56D2E">
        <w:t>.</w:t>
      </w:r>
    </w:p>
    <w:p w14:paraId="74884BCC" w14:textId="77777777" w:rsidR="00DB4199" w:rsidRPr="00A56D2E" w:rsidRDefault="00DB4199" w:rsidP="00A67D67">
      <w:pPr>
        <w:jc w:val="both"/>
      </w:pPr>
    </w:p>
    <w:p w14:paraId="2BD0BD3C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5. </w:t>
      </w:r>
      <w:r w:rsidR="00832886">
        <w:rPr>
          <w:b/>
        </w:rPr>
        <w:tab/>
      </w:r>
      <w:r w:rsidRPr="00A56D2E">
        <w:rPr>
          <w:b/>
        </w:rPr>
        <w:t>ФАРМАКОЛОГИЧЕСКИЕ СВОЙСТВА</w:t>
      </w:r>
    </w:p>
    <w:p w14:paraId="01F85E79" w14:textId="77777777" w:rsidR="00A67D67" w:rsidRPr="00A56D2E" w:rsidRDefault="00A67D67" w:rsidP="003E50E6">
      <w:pPr>
        <w:jc w:val="both"/>
        <w:rPr>
          <w:b/>
        </w:rPr>
      </w:pPr>
    </w:p>
    <w:p w14:paraId="304CF9DC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5.1. Фармакодинамические свойства </w:t>
      </w:r>
    </w:p>
    <w:p w14:paraId="141A45B8" w14:textId="77777777" w:rsidR="00A67D67" w:rsidRPr="00A56D2E" w:rsidRDefault="00A67D67" w:rsidP="001B5AE8">
      <w:pPr>
        <w:spacing w:before="120"/>
        <w:jc w:val="both"/>
      </w:pPr>
      <w:r w:rsidRPr="00A56D2E">
        <w:t xml:space="preserve">Фармакотерапевтическая группа: </w:t>
      </w:r>
      <w:r w:rsidR="00027FA1" w:rsidRPr="00A56D2E">
        <w:t xml:space="preserve">антигистаминные препараты для системного применения, </w:t>
      </w:r>
      <w:r w:rsidRPr="00A56D2E">
        <w:t>производн</w:t>
      </w:r>
      <w:r w:rsidR="007E316D" w:rsidRPr="007E316D">
        <w:rPr>
          <w:color w:val="FF0000"/>
        </w:rPr>
        <w:t>ы</w:t>
      </w:r>
      <w:r w:rsidRPr="007E316D">
        <w:rPr>
          <w:color w:val="FF0000"/>
        </w:rPr>
        <w:t>е</w:t>
      </w:r>
      <w:r w:rsidR="007E316D" w:rsidRPr="007E316D">
        <w:rPr>
          <w:color w:val="FF0000"/>
        </w:rPr>
        <w:t xml:space="preserve"> </w:t>
      </w:r>
      <w:proofErr w:type="spellStart"/>
      <w:r w:rsidR="007E316D" w:rsidRPr="007E316D">
        <w:rPr>
          <w:color w:val="FF0000"/>
        </w:rPr>
        <w:t>пиперазина</w:t>
      </w:r>
      <w:proofErr w:type="spellEnd"/>
      <w:r w:rsidRPr="00A56D2E">
        <w:t>, код АТХ: R06A E07</w:t>
      </w:r>
      <w:r w:rsidR="00C84F65" w:rsidRPr="00C84F65">
        <w:rPr>
          <w:color w:val="FF0000"/>
        </w:rPr>
        <w:t>.</w:t>
      </w:r>
    </w:p>
    <w:p w14:paraId="4EF15153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Механизм действия</w:t>
      </w:r>
    </w:p>
    <w:p w14:paraId="1AC9C0CF" w14:textId="77777777" w:rsidR="00027FA1" w:rsidRPr="00A56D2E" w:rsidRDefault="00027FA1" w:rsidP="00027FA1">
      <w:pPr>
        <w:jc w:val="both"/>
      </w:pPr>
      <w:proofErr w:type="spellStart"/>
      <w:r w:rsidRPr="00A56D2E">
        <w:t>Цетиризин</w:t>
      </w:r>
      <w:proofErr w:type="spellEnd"/>
      <w:r w:rsidRPr="00A56D2E">
        <w:t xml:space="preserve"> является метаболитом </w:t>
      </w:r>
      <w:proofErr w:type="spellStart"/>
      <w:r w:rsidRPr="00A56D2E">
        <w:t>гидроксизина</w:t>
      </w:r>
      <w:proofErr w:type="spellEnd"/>
      <w:r w:rsidRPr="00A56D2E">
        <w:t xml:space="preserve"> у человека, он является мощным избирательным антагонистом периферических рецепторов Н1. В экспериментах по связыванию с рецепторами в условиях </w:t>
      </w:r>
      <w:proofErr w:type="spellStart"/>
      <w:r w:rsidRPr="00A56D2E">
        <w:rPr>
          <w:i/>
        </w:rPr>
        <w:t>in</w:t>
      </w:r>
      <w:proofErr w:type="spellEnd"/>
      <w:r w:rsidRPr="00A56D2E">
        <w:rPr>
          <w:i/>
        </w:rPr>
        <w:t xml:space="preserve"> </w:t>
      </w:r>
      <w:proofErr w:type="spellStart"/>
      <w:r w:rsidRPr="00A56D2E">
        <w:rPr>
          <w:i/>
        </w:rPr>
        <w:t>vivo</w:t>
      </w:r>
      <w:proofErr w:type="spellEnd"/>
      <w:r w:rsidRPr="00A56D2E">
        <w:t xml:space="preserve"> не выявили измеряемого сродства препарата к рецепторам, отличающимся от Н1.</w:t>
      </w:r>
    </w:p>
    <w:p w14:paraId="48F68F01" w14:textId="77777777" w:rsidR="00DB4199" w:rsidRPr="00A56D2E" w:rsidRDefault="00DB4199" w:rsidP="00A67D67">
      <w:pPr>
        <w:spacing w:before="120"/>
        <w:jc w:val="both"/>
        <w:rPr>
          <w:i/>
        </w:rPr>
      </w:pPr>
      <w:r w:rsidRPr="00A56D2E">
        <w:rPr>
          <w:i/>
        </w:rPr>
        <w:t xml:space="preserve">Фармакодинамический эффект </w:t>
      </w:r>
    </w:p>
    <w:p w14:paraId="35D8EFFB" w14:textId="77777777" w:rsidR="00027FA1" w:rsidRPr="00A56D2E" w:rsidRDefault="00DB4199" w:rsidP="00832886">
      <w:pPr>
        <w:jc w:val="both"/>
      </w:pPr>
      <w:r w:rsidRPr="00A56D2E">
        <w:t xml:space="preserve">Кроме анти-Н1 эффекта, </w:t>
      </w:r>
      <w:proofErr w:type="spellStart"/>
      <w:r w:rsidRPr="00A56D2E">
        <w:t>цетиризин</w:t>
      </w:r>
      <w:proofErr w:type="spellEnd"/>
      <w:r w:rsidRPr="00A56D2E">
        <w:t xml:space="preserve"> также обладает противовоспалительной активностью</w:t>
      </w:r>
      <w:r w:rsidR="00027FA1" w:rsidRPr="00A56D2E">
        <w:t xml:space="preserve"> </w:t>
      </w:r>
      <w:r w:rsidRPr="00A56D2E">
        <w:t xml:space="preserve">и влияет на позднюю фазу аллергических реакций. В дозе 10 мг один или два раза в сутки </w:t>
      </w:r>
      <w:proofErr w:type="spellStart"/>
      <w:r w:rsidRPr="00A56D2E">
        <w:lastRenderedPageBreak/>
        <w:t>цетиризин</w:t>
      </w:r>
      <w:proofErr w:type="spellEnd"/>
      <w:r w:rsidRPr="00A56D2E">
        <w:t xml:space="preserve"> ингибирует </w:t>
      </w:r>
      <w:r w:rsidR="007E316D" w:rsidRPr="007E316D">
        <w:rPr>
          <w:color w:val="FF0000"/>
        </w:rPr>
        <w:t>миграцию</w:t>
      </w:r>
      <w:r w:rsidR="007E316D">
        <w:t xml:space="preserve"> </w:t>
      </w:r>
      <w:r w:rsidRPr="00A56D2E">
        <w:t>эозинофилов</w:t>
      </w:r>
      <w:r w:rsidR="00027FA1" w:rsidRPr="00A56D2E">
        <w:t xml:space="preserve"> в поздней фазе в коже и конъюнктиве лиц, страдающих </w:t>
      </w:r>
      <w:proofErr w:type="spellStart"/>
      <w:r w:rsidR="00027FA1" w:rsidRPr="00A56D2E">
        <w:t>атопией</w:t>
      </w:r>
      <w:proofErr w:type="spellEnd"/>
      <w:r w:rsidR="00027FA1" w:rsidRPr="00A56D2E">
        <w:t>, после провокационной пробы аллергеном</w:t>
      </w:r>
      <w:r w:rsidRPr="00A56D2E">
        <w:t xml:space="preserve">. </w:t>
      </w:r>
    </w:p>
    <w:p w14:paraId="5E7B491F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Клиническая эффективность и безопасность</w:t>
      </w:r>
    </w:p>
    <w:p w14:paraId="3AB11B67" w14:textId="77777777" w:rsidR="00027FA1" w:rsidRPr="00A56D2E" w:rsidRDefault="00027FA1" w:rsidP="00027FA1">
      <w:pPr>
        <w:jc w:val="both"/>
      </w:pPr>
      <w:r w:rsidRPr="00A56D2E">
        <w:t xml:space="preserve">Исследования на здоровых добровольцах показали, что </w:t>
      </w:r>
      <w:proofErr w:type="spellStart"/>
      <w:r w:rsidRPr="00A56D2E">
        <w:t>цетиризин</w:t>
      </w:r>
      <w:proofErr w:type="spellEnd"/>
      <w:r w:rsidRPr="00A56D2E">
        <w:t xml:space="preserve"> в дозе 5 и 10 мг сильно ингибирует тройной ответ (реакцию по типу «цветения»), вызванный очень высокими концентрациями гистамина в коже, однако корреляция с эффективностью не установлена.</w:t>
      </w:r>
    </w:p>
    <w:p w14:paraId="377522E6" w14:textId="77777777" w:rsidR="00027FA1" w:rsidRPr="00A56D2E" w:rsidRDefault="00027FA1" w:rsidP="00027FA1">
      <w:pPr>
        <w:spacing w:before="120"/>
        <w:jc w:val="both"/>
      </w:pPr>
      <w:r w:rsidRPr="00A56D2E">
        <w:t xml:space="preserve">В 6-недельном исследовании с контролем плацебо с участием 186 пациентов с аллергическим ринитом и сопутствующей астмой умеренной-средней тяжести </w:t>
      </w:r>
      <w:proofErr w:type="spellStart"/>
      <w:r w:rsidRPr="00A56D2E">
        <w:t>цетиризин</w:t>
      </w:r>
      <w:proofErr w:type="spellEnd"/>
      <w:r w:rsidRPr="00A56D2E">
        <w:t xml:space="preserve"> </w:t>
      </w:r>
      <w:r w:rsidR="00C84F65">
        <w:t xml:space="preserve">          </w:t>
      </w:r>
      <w:r w:rsidRPr="00A56D2E">
        <w:t>10 мг один раз в день улучшал симптомы ринита и не изменял функцию л</w:t>
      </w:r>
      <w:r w:rsidR="00A37B0E" w:rsidRPr="00A37B0E">
        <w:rPr>
          <w:color w:val="FF0000"/>
        </w:rPr>
        <w:t>е</w:t>
      </w:r>
      <w:r w:rsidRPr="00A56D2E">
        <w:t xml:space="preserve">гких. Это исследование подтвердило безопасность применения </w:t>
      </w:r>
      <w:proofErr w:type="spellStart"/>
      <w:r w:rsidRPr="00A56D2E">
        <w:t>цетиризина</w:t>
      </w:r>
      <w:proofErr w:type="spellEnd"/>
      <w:r w:rsidRPr="00A56D2E">
        <w:t xml:space="preserve"> у аллергиков с астмой умеренной-средней тяжести.</w:t>
      </w:r>
    </w:p>
    <w:p w14:paraId="23C89B49" w14:textId="77777777" w:rsidR="00027FA1" w:rsidRPr="00A56D2E" w:rsidRDefault="00027FA1" w:rsidP="00027FA1">
      <w:pPr>
        <w:spacing w:before="120"/>
        <w:jc w:val="both"/>
      </w:pPr>
      <w:r w:rsidRPr="00A56D2E">
        <w:t xml:space="preserve">В исследовании с контролем плацебо </w:t>
      </w:r>
      <w:proofErr w:type="spellStart"/>
      <w:r w:rsidRPr="00A56D2E">
        <w:t>цетиризин</w:t>
      </w:r>
      <w:proofErr w:type="spellEnd"/>
      <w:r w:rsidRPr="00A56D2E">
        <w:t>, назначаемый в высоких дозах (60 мг) в течение 7 дней, не вызывал статистически достоверного удлинения интервала QT.</w:t>
      </w:r>
    </w:p>
    <w:p w14:paraId="61FA0F2B" w14:textId="47395206" w:rsidR="00027FA1" w:rsidRPr="00A56D2E" w:rsidRDefault="00027FA1" w:rsidP="00027FA1">
      <w:pPr>
        <w:spacing w:before="120" w:after="120"/>
        <w:jc w:val="both"/>
      </w:pPr>
      <w:r w:rsidRPr="00A56D2E">
        <w:t xml:space="preserve">Было показано, что в рекомендуемых дозах </w:t>
      </w:r>
      <w:proofErr w:type="spellStart"/>
      <w:r w:rsidRPr="00A56D2E">
        <w:t>цетиризин</w:t>
      </w:r>
      <w:proofErr w:type="spellEnd"/>
      <w:r w:rsidRPr="00A56D2E">
        <w:t xml:space="preserve"> улучшал качество жизни пациентов с сезонным или </w:t>
      </w:r>
      <w:bookmarkStart w:id="0" w:name="_GoBack"/>
      <w:r w:rsidR="00F34C59" w:rsidRPr="009945B2">
        <w:rPr>
          <w:color w:val="00B050"/>
        </w:rPr>
        <w:t>круглогодичным</w:t>
      </w:r>
      <w:r w:rsidRPr="009945B2">
        <w:rPr>
          <w:color w:val="00B050"/>
        </w:rPr>
        <w:t xml:space="preserve"> </w:t>
      </w:r>
      <w:bookmarkEnd w:id="0"/>
      <w:r w:rsidRPr="00A56D2E">
        <w:t>аллергическим ринитом.</w:t>
      </w:r>
    </w:p>
    <w:p w14:paraId="5124C1AE" w14:textId="77777777" w:rsidR="00027FA1" w:rsidRPr="006F641E" w:rsidRDefault="00027FA1" w:rsidP="00027FA1">
      <w:pPr>
        <w:jc w:val="both"/>
        <w:rPr>
          <w:i/>
        </w:rPr>
      </w:pPr>
      <w:r w:rsidRPr="006F641E">
        <w:rPr>
          <w:i/>
        </w:rPr>
        <w:t>Применение у детей</w:t>
      </w:r>
    </w:p>
    <w:p w14:paraId="0A2720FB" w14:textId="77777777" w:rsidR="00027FA1" w:rsidRPr="00A56D2E" w:rsidRDefault="00027FA1" w:rsidP="00027FA1">
      <w:pPr>
        <w:jc w:val="both"/>
      </w:pPr>
      <w:r w:rsidRPr="00A56D2E">
        <w:t xml:space="preserve">В 35-дневном исследовании с участием детей в возрасте от 5 до 12 лет, не наблюдалось толерантности к антигистаминному эффекту </w:t>
      </w:r>
      <w:proofErr w:type="spellStart"/>
      <w:r w:rsidRPr="00A56D2E">
        <w:t>цетиризина</w:t>
      </w:r>
      <w:proofErr w:type="spellEnd"/>
      <w:r w:rsidRPr="00A56D2E">
        <w:t xml:space="preserve"> (</w:t>
      </w:r>
      <w:r w:rsidR="009E3C8C" w:rsidRPr="009E3C8C">
        <w:rPr>
          <w:color w:val="7030A0"/>
        </w:rPr>
        <w:t xml:space="preserve">подавление реакции </w:t>
      </w:r>
      <w:r w:rsidRPr="00A56D2E">
        <w:t xml:space="preserve">по типу «цветения»). Когда </w:t>
      </w:r>
      <w:proofErr w:type="spellStart"/>
      <w:r w:rsidRPr="00A56D2E">
        <w:t>цетиризин</w:t>
      </w:r>
      <w:proofErr w:type="spellEnd"/>
      <w:r w:rsidRPr="00A56D2E">
        <w:t xml:space="preserve"> отменяли после повторной дозировки, реактивность кожи к гистамину восстанавливалась в течение 3 дней.</w:t>
      </w:r>
    </w:p>
    <w:p w14:paraId="1A28FED3" w14:textId="77777777" w:rsidR="00DB4199" w:rsidRPr="00A56D2E" w:rsidRDefault="00DB4199" w:rsidP="00A67D67">
      <w:pPr>
        <w:jc w:val="both"/>
      </w:pPr>
    </w:p>
    <w:p w14:paraId="31C49CA0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>5.2. Фармакокинетические свойства</w:t>
      </w:r>
    </w:p>
    <w:p w14:paraId="5EB973E6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Всасывание</w:t>
      </w:r>
    </w:p>
    <w:p w14:paraId="0BA02D3A" w14:textId="77777777" w:rsidR="00DB4199" w:rsidRPr="00A56D2E" w:rsidRDefault="00DB4199" w:rsidP="001B5AE8">
      <w:pPr>
        <w:jc w:val="both"/>
      </w:pPr>
      <w:r w:rsidRPr="00A56D2E">
        <w:t xml:space="preserve">После приема препарата внутрь </w:t>
      </w:r>
      <w:proofErr w:type="spellStart"/>
      <w:r w:rsidRPr="00A56D2E">
        <w:t>цетиризин</w:t>
      </w:r>
      <w:proofErr w:type="spellEnd"/>
      <w:r w:rsidRPr="00A56D2E">
        <w:t xml:space="preserve"> быстро всасывается в желудочно-кишечном тракте.</w:t>
      </w:r>
    </w:p>
    <w:p w14:paraId="1AF3C86A" w14:textId="77777777" w:rsidR="00DB4199" w:rsidRPr="00A56D2E" w:rsidRDefault="00DB4199" w:rsidP="001B5AE8">
      <w:pPr>
        <w:jc w:val="both"/>
      </w:pPr>
      <w:r w:rsidRPr="00A56D2E">
        <w:t xml:space="preserve">Равновесная максимальная концентрация составляет примерно 300 </w:t>
      </w:r>
      <w:proofErr w:type="spellStart"/>
      <w:r w:rsidRPr="00A56D2E">
        <w:t>нг</w:t>
      </w:r>
      <w:proofErr w:type="spellEnd"/>
      <w:r w:rsidRPr="00A56D2E">
        <w:t>/мл и достигается в течение 1.0 ± 0.5 часа. Равновесное состояние достигается на третий день. У добровольцев фармакокинетические параметры (</w:t>
      </w:r>
      <w:proofErr w:type="spellStart"/>
      <w:r w:rsidRPr="00A56D2E">
        <w:t>С</w:t>
      </w:r>
      <w:r w:rsidRPr="00A56D2E">
        <w:rPr>
          <w:vertAlign w:val="subscript"/>
        </w:rPr>
        <w:t>мах</w:t>
      </w:r>
      <w:proofErr w:type="spellEnd"/>
      <w:r w:rsidRPr="00A56D2E">
        <w:t xml:space="preserve"> и АUС) и распределение имеют унимодальный характер.</w:t>
      </w:r>
    </w:p>
    <w:p w14:paraId="155C42C8" w14:textId="77777777" w:rsidR="00DB4199" w:rsidRPr="00A56D2E" w:rsidRDefault="00DB4199" w:rsidP="001B5AE8">
      <w:pPr>
        <w:spacing w:before="120"/>
        <w:jc w:val="both"/>
      </w:pPr>
      <w:r w:rsidRPr="00A56D2E">
        <w:t xml:space="preserve">Пища не влияет на полноту всасывания, хотя скорость всасывания понижается. Степень биодоступности сходна при использовании </w:t>
      </w:r>
      <w:proofErr w:type="spellStart"/>
      <w:r w:rsidRPr="00A56D2E">
        <w:t>цетиризина</w:t>
      </w:r>
      <w:proofErr w:type="spellEnd"/>
      <w:r w:rsidRPr="00A56D2E">
        <w:t xml:space="preserve"> в форме раствора, капсул или таб</w:t>
      </w:r>
      <w:r w:rsidR="002724E0" w:rsidRPr="00A56D2E">
        <w:t>л</w:t>
      </w:r>
      <w:r w:rsidRPr="00A56D2E">
        <w:t>еток.</w:t>
      </w:r>
    </w:p>
    <w:p w14:paraId="0F7AB5F2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Распределение</w:t>
      </w:r>
    </w:p>
    <w:p w14:paraId="71A2BCBC" w14:textId="77777777" w:rsidR="00DB4199" w:rsidRPr="00A56D2E" w:rsidRDefault="00DB4199" w:rsidP="003E50E6">
      <w:pPr>
        <w:jc w:val="both"/>
      </w:pPr>
      <w:r w:rsidRPr="00A56D2E">
        <w:t>У взрослых после приема 10 мг препарата внутрь кажущийся объ</w:t>
      </w:r>
      <w:r w:rsidR="00A37B0E" w:rsidRPr="00A37B0E">
        <w:rPr>
          <w:color w:val="FF0000"/>
        </w:rPr>
        <w:t>е</w:t>
      </w:r>
      <w:r w:rsidRPr="00A56D2E">
        <w:t xml:space="preserve">м распределения составляет примерно 35 л (0.50 л/кг). 93 ± 0.3% </w:t>
      </w:r>
      <w:proofErr w:type="spellStart"/>
      <w:r w:rsidRPr="00A56D2E">
        <w:t>цетиризина</w:t>
      </w:r>
      <w:proofErr w:type="spellEnd"/>
      <w:r w:rsidRPr="00A56D2E">
        <w:t xml:space="preserve"> связывается с белками. </w:t>
      </w:r>
      <w:proofErr w:type="spellStart"/>
      <w:r w:rsidRPr="00A56D2E">
        <w:t>Цетиризин</w:t>
      </w:r>
      <w:proofErr w:type="spellEnd"/>
      <w:r w:rsidRPr="00A56D2E">
        <w:t xml:space="preserve"> не влияет на связывание </w:t>
      </w:r>
      <w:proofErr w:type="spellStart"/>
      <w:r w:rsidRPr="00A56D2E">
        <w:t>варфарина</w:t>
      </w:r>
      <w:proofErr w:type="spellEnd"/>
      <w:r w:rsidRPr="00A56D2E">
        <w:t xml:space="preserve"> с белками плазмы. </w:t>
      </w:r>
    </w:p>
    <w:p w14:paraId="0B2F5E81" w14:textId="77777777" w:rsidR="00DB4199" w:rsidRPr="00A56D2E" w:rsidRDefault="00DB4199" w:rsidP="001B5AE8">
      <w:pPr>
        <w:jc w:val="both"/>
      </w:pPr>
      <w:r w:rsidRPr="00A56D2E">
        <w:t xml:space="preserve">В небольших количествах </w:t>
      </w:r>
      <w:proofErr w:type="spellStart"/>
      <w:r w:rsidRPr="00A56D2E">
        <w:t>цетиризин</w:t>
      </w:r>
      <w:proofErr w:type="spellEnd"/>
      <w:r w:rsidRPr="00A56D2E">
        <w:t xml:space="preserve"> выделяется с материнским молоком.</w:t>
      </w:r>
    </w:p>
    <w:p w14:paraId="3349250D" w14:textId="77777777" w:rsidR="00DB4199" w:rsidRPr="00A56D2E" w:rsidRDefault="00DB4199" w:rsidP="001B5AE8">
      <w:pPr>
        <w:spacing w:before="120"/>
        <w:jc w:val="both"/>
        <w:rPr>
          <w:i/>
        </w:rPr>
      </w:pPr>
      <w:proofErr w:type="spellStart"/>
      <w:r w:rsidRPr="00A56D2E">
        <w:rPr>
          <w:i/>
        </w:rPr>
        <w:t>Биотрансфоормация</w:t>
      </w:r>
      <w:proofErr w:type="spellEnd"/>
    </w:p>
    <w:p w14:paraId="181F2151" w14:textId="77777777" w:rsidR="00DB4199" w:rsidRPr="00A56D2E" w:rsidRDefault="00DB4199" w:rsidP="003E50E6">
      <w:pPr>
        <w:jc w:val="both"/>
      </w:pPr>
      <w:proofErr w:type="spellStart"/>
      <w:r w:rsidRPr="00A56D2E">
        <w:t>Цетиризин</w:t>
      </w:r>
      <w:proofErr w:type="spellEnd"/>
      <w:r w:rsidRPr="00A56D2E">
        <w:t xml:space="preserve"> не подвергается выраженному </w:t>
      </w:r>
      <w:proofErr w:type="spellStart"/>
      <w:r w:rsidRPr="00A56D2E">
        <w:t>пред</w:t>
      </w:r>
      <w:r w:rsidR="002724E0" w:rsidRPr="00A56D2E">
        <w:t>с</w:t>
      </w:r>
      <w:r w:rsidRPr="00A56D2E">
        <w:t>истемному</w:t>
      </w:r>
      <w:proofErr w:type="spellEnd"/>
      <w:r w:rsidRPr="00A56D2E">
        <w:t xml:space="preserve"> метаболизму. </w:t>
      </w:r>
    </w:p>
    <w:p w14:paraId="7D4DDFBD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Выведение</w:t>
      </w:r>
    </w:p>
    <w:p w14:paraId="2F8D4228" w14:textId="77777777" w:rsidR="00AF2B55" w:rsidRPr="00A56D2E" w:rsidRDefault="00AF2B55" w:rsidP="00AF2B55">
      <w:pPr>
        <w:jc w:val="both"/>
      </w:pPr>
      <w:r w:rsidRPr="00A56D2E">
        <w:t xml:space="preserve">Около 2/3 дозы выводится в неизменной форме с мочой. Период терминального полувыведения составляет около 10 часов и </w:t>
      </w:r>
      <w:proofErr w:type="spellStart"/>
      <w:r w:rsidRPr="00A56D2E">
        <w:t>цетиризин</w:t>
      </w:r>
      <w:proofErr w:type="spellEnd"/>
      <w:r w:rsidRPr="00A56D2E">
        <w:t xml:space="preserve"> не аккумулировался при </w:t>
      </w:r>
      <w:r w:rsidRPr="009E3C8C">
        <w:rPr>
          <w:color w:val="7030A0"/>
        </w:rPr>
        <w:t>повторно</w:t>
      </w:r>
      <w:r w:rsidR="009E3C8C" w:rsidRPr="009E3C8C">
        <w:rPr>
          <w:color w:val="7030A0"/>
        </w:rPr>
        <w:t>м</w:t>
      </w:r>
      <w:r w:rsidRPr="009E3C8C">
        <w:rPr>
          <w:color w:val="7030A0"/>
        </w:rPr>
        <w:t xml:space="preserve"> </w:t>
      </w:r>
      <w:r w:rsidR="009E3C8C" w:rsidRPr="009E3C8C">
        <w:rPr>
          <w:color w:val="7030A0"/>
        </w:rPr>
        <w:t xml:space="preserve">приеме </w:t>
      </w:r>
      <w:r w:rsidRPr="00A56D2E">
        <w:t>в течение 10 дней в дозе 10 мг/день.</w:t>
      </w:r>
    </w:p>
    <w:p w14:paraId="592FD2F8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Линейность/нелинейность</w:t>
      </w:r>
    </w:p>
    <w:p w14:paraId="1ABD5727" w14:textId="77777777" w:rsidR="00DB4199" w:rsidRPr="00A56D2E" w:rsidRDefault="00DB4199" w:rsidP="003E50E6">
      <w:pPr>
        <w:jc w:val="both"/>
      </w:pPr>
      <w:proofErr w:type="spellStart"/>
      <w:r w:rsidRPr="00A56D2E">
        <w:t>Цетиризин</w:t>
      </w:r>
      <w:proofErr w:type="spellEnd"/>
      <w:r w:rsidRPr="00A56D2E">
        <w:t xml:space="preserve"> имеет линейную кинетику в доз</w:t>
      </w:r>
      <w:r w:rsidR="007E316D" w:rsidRPr="007E316D">
        <w:rPr>
          <w:color w:val="FF0000"/>
        </w:rPr>
        <w:t>овом</w:t>
      </w:r>
      <w:r w:rsidRPr="00A56D2E">
        <w:t xml:space="preserve"> диапазоне от 5 до 60 мг.</w:t>
      </w:r>
    </w:p>
    <w:p w14:paraId="6CC52B96" w14:textId="77777777" w:rsidR="00DB4199" w:rsidRPr="00A56D2E" w:rsidRDefault="00DB4199" w:rsidP="001B5AE8">
      <w:pPr>
        <w:spacing w:before="120"/>
        <w:jc w:val="both"/>
        <w:rPr>
          <w:u w:val="single"/>
        </w:rPr>
      </w:pPr>
      <w:r w:rsidRPr="00A56D2E">
        <w:rPr>
          <w:u w:val="single"/>
        </w:rPr>
        <w:lastRenderedPageBreak/>
        <w:t>Специальные группы пациентов</w:t>
      </w:r>
    </w:p>
    <w:p w14:paraId="63261113" w14:textId="77777777" w:rsidR="00DB4199" w:rsidRPr="00A56D2E" w:rsidRDefault="00DB4199" w:rsidP="001B5AE8">
      <w:pPr>
        <w:spacing w:before="120"/>
        <w:jc w:val="both"/>
        <w:rPr>
          <w:i/>
        </w:rPr>
      </w:pPr>
      <w:r w:rsidRPr="00A56D2E">
        <w:rPr>
          <w:i/>
        </w:rPr>
        <w:t>Пожилые</w:t>
      </w:r>
      <w:r w:rsidR="006F641E">
        <w:rPr>
          <w:i/>
        </w:rPr>
        <w:t xml:space="preserve"> </w:t>
      </w:r>
    </w:p>
    <w:p w14:paraId="466A0235" w14:textId="77777777" w:rsidR="00DB4199" w:rsidRPr="00A56D2E" w:rsidRDefault="00DB4199" w:rsidP="003E50E6">
      <w:pPr>
        <w:jc w:val="both"/>
      </w:pPr>
      <w:r w:rsidRPr="00A56D2E">
        <w:t>У 16 пожилых испытуемых-добровольцев после однократного при</w:t>
      </w:r>
      <w:r w:rsidR="00A37B0E" w:rsidRPr="00A37B0E">
        <w:rPr>
          <w:color w:val="FF0000"/>
        </w:rPr>
        <w:t>е</w:t>
      </w:r>
      <w:r w:rsidRPr="00A56D2E">
        <w:t xml:space="preserve">ма внутрь дозы </w:t>
      </w:r>
      <w:proofErr w:type="spellStart"/>
      <w:r w:rsidRPr="00A56D2E">
        <w:t>цетиризина</w:t>
      </w:r>
      <w:proofErr w:type="spellEnd"/>
      <w:r w:rsidRPr="00A56D2E">
        <w:t xml:space="preserve"> 10 мг время полувыведения повысилось примерно на 50%, а клиренс был понижен на 40%, по сравнению с лицами </w:t>
      </w:r>
      <w:r w:rsidR="002724E0" w:rsidRPr="00A56D2E">
        <w:t>более молодого</w:t>
      </w:r>
      <w:r w:rsidRPr="00A56D2E">
        <w:t xml:space="preserve"> возраста. Понижение клиренса </w:t>
      </w:r>
      <w:proofErr w:type="spellStart"/>
      <w:r w:rsidRPr="00A56D2E">
        <w:t>цетиризина</w:t>
      </w:r>
      <w:proofErr w:type="spellEnd"/>
      <w:r w:rsidRPr="00A56D2E">
        <w:t xml:space="preserve"> у этих пожилых добровольцев</w:t>
      </w:r>
      <w:r w:rsidR="002724E0" w:rsidRPr="00A56D2E">
        <w:t>,</w:t>
      </w:r>
      <w:r w:rsidRPr="00A56D2E">
        <w:t xml:space="preserve"> вероятно</w:t>
      </w:r>
      <w:r w:rsidR="002724E0" w:rsidRPr="00A56D2E">
        <w:t>,</w:t>
      </w:r>
      <w:r w:rsidRPr="00A56D2E">
        <w:t xml:space="preserve"> был</w:t>
      </w:r>
      <w:r w:rsidR="002724E0" w:rsidRPr="00A56D2E">
        <w:t>о</w:t>
      </w:r>
      <w:r w:rsidRPr="00A56D2E">
        <w:t xml:space="preserve"> связан</w:t>
      </w:r>
      <w:r w:rsidR="002724E0" w:rsidRPr="00A56D2E">
        <w:t>о</w:t>
      </w:r>
      <w:r w:rsidRPr="00A56D2E">
        <w:t xml:space="preserve"> с ухудшением почечной функции.</w:t>
      </w:r>
    </w:p>
    <w:p w14:paraId="6BE39234" w14:textId="77777777" w:rsidR="00DB4199" w:rsidRPr="00A56D2E" w:rsidRDefault="00DB4199" w:rsidP="002724E0">
      <w:pPr>
        <w:spacing w:before="120"/>
        <w:jc w:val="both"/>
        <w:rPr>
          <w:i/>
        </w:rPr>
      </w:pPr>
      <w:r w:rsidRPr="00A56D2E">
        <w:rPr>
          <w:i/>
        </w:rPr>
        <w:t xml:space="preserve">Дети и </w:t>
      </w:r>
      <w:r w:rsidR="00AF2B55" w:rsidRPr="00A56D2E">
        <w:rPr>
          <w:i/>
        </w:rPr>
        <w:t>подростки в возрасте до 18 лет</w:t>
      </w:r>
    </w:p>
    <w:p w14:paraId="146CC4C3" w14:textId="77777777" w:rsidR="005019F9" w:rsidRPr="00A56D2E" w:rsidRDefault="00AF2B55" w:rsidP="00F07BFC">
      <w:pPr>
        <w:jc w:val="both"/>
      </w:pPr>
      <w:r w:rsidRPr="00A56D2E">
        <w:t xml:space="preserve">Период </w:t>
      </w:r>
      <w:r w:rsidR="00DB4199" w:rsidRPr="00A56D2E">
        <w:t xml:space="preserve">полувыведения </w:t>
      </w:r>
      <w:proofErr w:type="spellStart"/>
      <w:r w:rsidR="00DB4199" w:rsidRPr="00A56D2E">
        <w:t>цетиризина</w:t>
      </w:r>
      <w:proofErr w:type="spellEnd"/>
      <w:r w:rsidR="00DB4199" w:rsidRPr="00A56D2E">
        <w:t xml:space="preserve"> составляло около 6 часов у детей в возрасте от 6 до 12 лет и 5 часов у детей в возрасте от 2 до 6 лет. </w:t>
      </w:r>
      <w:r w:rsidRPr="00A56D2E">
        <w:t>У маленьких детей и младенцев в возрасте от 6 до 24 месяцев период полувыведения сокращается до 3,1 часов.</w:t>
      </w:r>
    </w:p>
    <w:p w14:paraId="2BC527A9" w14:textId="77777777" w:rsidR="00DB4199" w:rsidRPr="00A56D2E" w:rsidRDefault="00DB4199" w:rsidP="005019F9">
      <w:pPr>
        <w:spacing w:before="120"/>
        <w:jc w:val="both"/>
        <w:rPr>
          <w:i/>
        </w:rPr>
      </w:pPr>
      <w:r w:rsidRPr="00A56D2E">
        <w:rPr>
          <w:i/>
        </w:rPr>
        <w:t>Пациенты с нарушением функции почек</w:t>
      </w:r>
    </w:p>
    <w:p w14:paraId="458F486C" w14:textId="77777777" w:rsidR="00DB4199" w:rsidRPr="00A56D2E" w:rsidRDefault="00DB4199" w:rsidP="003E50E6">
      <w:pPr>
        <w:jc w:val="both"/>
      </w:pPr>
      <w:r w:rsidRPr="00A56D2E">
        <w:t>У больных с л</w:t>
      </w:r>
      <w:r w:rsidR="00A37B0E" w:rsidRPr="00A37B0E">
        <w:rPr>
          <w:color w:val="FF0000"/>
        </w:rPr>
        <w:t>е</w:t>
      </w:r>
      <w:r w:rsidRPr="00A56D2E">
        <w:t>гкой почечной недостаточностью (</w:t>
      </w:r>
      <w:r w:rsidR="006F641E" w:rsidRPr="00A56D2E">
        <w:t>КК&gt;</w:t>
      </w:r>
      <w:r w:rsidRPr="00A56D2E">
        <w:t xml:space="preserve"> 40 мл/мин) фармакокинетика лекарственного средства была сходна с таковой у здоровых добровольцев. При умеренной почечной недостаточности (КК 10-40 мл/мин), по сравнению со здоровыми добровольцами, период полувыведения увеличивается в три раза, а клиренс понижался на 70%.</w:t>
      </w:r>
    </w:p>
    <w:p w14:paraId="24DA42C2" w14:textId="77777777" w:rsidR="00DB4199" w:rsidRPr="00A56D2E" w:rsidRDefault="00DB4199" w:rsidP="002724E0">
      <w:pPr>
        <w:jc w:val="both"/>
      </w:pPr>
      <w:r w:rsidRPr="00A56D2E">
        <w:t>По сравнению со здоровыми добровольцами, у пациентов на гемодиализе (КК˂7 мл/</w:t>
      </w:r>
      <w:r w:rsidR="006F641E" w:rsidRPr="00A56D2E">
        <w:t>мин) после</w:t>
      </w:r>
      <w:r w:rsidRPr="00A56D2E">
        <w:t xml:space="preserve"> однократного при</w:t>
      </w:r>
      <w:r w:rsidR="00A37B0E" w:rsidRPr="00A37B0E">
        <w:rPr>
          <w:color w:val="FF0000"/>
        </w:rPr>
        <w:t>е</w:t>
      </w:r>
      <w:r w:rsidRPr="00A56D2E">
        <w:t xml:space="preserve">ма дозы </w:t>
      </w:r>
      <w:proofErr w:type="spellStart"/>
      <w:r w:rsidRPr="00A56D2E">
        <w:t>цетиризина</w:t>
      </w:r>
      <w:proofErr w:type="spellEnd"/>
      <w:r w:rsidRPr="00A56D2E">
        <w:t xml:space="preserve"> 10 мг период полувыведения </w:t>
      </w:r>
      <w:r w:rsidR="00E5714F" w:rsidRPr="00E5714F">
        <w:rPr>
          <w:color w:val="FF0000"/>
        </w:rPr>
        <w:t>увеличивался</w:t>
      </w:r>
      <w:r w:rsidRPr="00A56D2E">
        <w:t xml:space="preserve"> в три раза, а клиренс понижался на 70%. </w:t>
      </w:r>
      <w:proofErr w:type="spellStart"/>
      <w:r w:rsidRPr="00A56D2E">
        <w:t>Цетиризин</w:t>
      </w:r>
      <w:proofErr w:type="spellEnd"/>
      <w:r w:rsidRPr="00A56D2E">
        <w:t xml:space="preserve"> плохо удаляется с помощью гемодиализа (˂10%). При умерен</w:t>
      </w:r>
      <w:r w:rsidRPr="007E316D">
        <w:rPr>
          <w:color w:val="FF0000"/>
        </w:rPr>
        <w:t>но</w:t>
      </w:r>
      <w:r w:rsidRPr="00A56D2E">
        <w:t>-тяжелом нарушении почечной функции необходима коррекци</w:t>
      </w:r>
      <w:r w:rsidR="007E316D" w:rsidRPr="007E316D">
        <w:rPr>
          <w:color w:val="FF0000"/>
        </w:rPr>
        <w:t>я</w:t>
      </w:r>
      <w:r w:rsidRPr="007E316D">
        <w:rPr>
          <w:color w:val="FF0000"/>
        </w:rPr>
        <w:t xml:space="preserve"> </w:t>
      </w:r>
      <w:r w:rsidRPr="00A56D2E">
        <w:t>дозы</w:t>
      </w:r>
      <w:r w:rsidR="00AF2B55" w:rsidRPr="00A56D2E">
        <w:t xml:space="preserve"> </w:t>
      </w:r>
      <w:proofErr w:type="spellStart"/>
      <w:r w:rsidR="00AF2B55" w:rsidRPr="00A56D2E">
        <w:t>цетиризина</w:t>
      </w:r>
      <w:proofErr w:type="spellEnd"/>
      <w:r w:rsidRPr="00A56D2E">
        <w:t xml:space="preserve"> (см. раздел 4.2).</w:t>
      </w:r>
    </w:p>
    <w:p w14:paraId="643FD90D" w14:textId="77777777" w:rsidR="00DB4199" w:rsidRPr="00A56D2E" w:rsidRDefault="00DB4199" w:rsidP="00287102">
      <w:pPr>
        <w:spacing w:before="120"/>
        <w:jc w:val="both"/>
        <w:rPr>
          <w:i/>
        </w:rPr>
      </w:pPr>
      <w:r w:rsidRPr="00A56D2E">
        <w:rPr>
          <w:i/>
        </w:rPr>
        <w:t>Пациенты с нарушением функции печени</w:t>
      </w:r>
    </w:p>
    <w:p w14:paraId="0076B9FE" w14:textId="77777777" w:rsidR="00DB4199" w:rsidRPr="00A56D2E" w:rsidRDefault="00DB4199" w:rsidP="003E50E6">
      <w:pPr>
        <w:jc w:val="both"/>
      </w:pPr>
      <w:r w:rsidRPr="00A56D2E">
        <w:t>У пациентов с хроническими нарушениями функции печени</w:t>
      </w:r>
      <w:r w:rsidR="00AF2B55" w:rsidRPr="00A56D2E">
        <w:t xml:space="preserve"> (гепатоцеллюлярный, холестатический или </w:t>
      </w:r>
      <w:proofErr w:type="spellStart"/>
      <w:r w:rsidR="00AF2B55" w:rsidRPr="00A56D2E">
        <w:t>билиарный</w:t>
      </w:r>
      <w:proofErr w:type="spellEnd"/>
      <w:r w:rsidR="00AF2B55" w:rsidRPr="00A56D2E">
        <w:t xml:space="preserve"> цирроз)</w:t>
      </w:r>
      <w:r w:rsidRPr="00A56D2E">
        <w:t xml:space="preserve"> после приема внутрь 10 мг или 20 мг </w:t>
      </w:r>
      <w:proofErr w:type="spellStart"/>
      <w:r w:rsidRPr="00A56D2E">
        <w:t>цетиризина</w:t>
      </w:r>
      <w:proofErr w:type="spellEnd"/>
      <w:r w:rsidRPr="00A56D2E">
        <w:t xml:space="preserve"> период полувыведения уменьшался на 50%, а клиренс понижался на 40%.</w:t>
      </w:r>
    </w:p>
    <w:p w14:paraId="65C9F8D2" w14:textId="77777777" w:rsidR="00AF2B55" w:rsidRPr="00A56D2E" w:rsidRDefault="00AF2B55" w:rsidP="0034509A">
      <w:pPr>
        <w:jc w:val="both"/>
      </w:pPr>
      <w:r w:rsidRPr="00A56D2E">
        <w:t>Изменение дозы необходимо только у пациентов с одновременным нарушением функции печени и почек.</w:t>
      </w:r>
    </w:p>
    <w:p w14:paraId="105B8F4C" w14:textId="77777777" w:rsidR="005019F9" w:rsidRPr="00A56D2E" w:rsidRDefault="005019F9" w:rsidP="005019F9">
      <w:pPr>
        <w:jc w:val="both"/>
      </w:pPr>
    </w:p>
    <w:p w14:paraId="239510FB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5.3. Доклинические </w:t>
      </w:r>
      <w:r w:rsidRPr="00A56D2E">
        <w:rPr>
          <w:b/>
          <w:bCs/>
        </w:rPr>
        <w:t>исследования</w:t>
      </w:r>
      <w:r w:rsidRPr="00A56D2E" w:rsidDel="00CE4541">
        <w:rPr>
          <w:b/>
        </w:rPr>
        <w:t xml:space="preserve"> </w:t>
      </w:r>
      <w:r w:rsidRPr="00A56D2E">
        <w:rPr>
          <w:b/>
        </w:rPr>
        <w:t>безопасности</w:t>
      </w:r>
    </w:p>
    <w:p w14:paraId="28B933C5" w14:textId="77777777" w:rsidR="00DB4199" w:rsidRPr="00A56D2E" w:rsidRDefault="00DB4199" w:rsidP="001B5AE8">
      <w:pPr>
        <w:spacing w:before="120"/>
        <w:jc w:val="both"/>
      </w:pPr>
      <w:r w:rsidRPr="00A56D2E">
        <w:t xml:space="preserve">Доклинические исследования безопасности, фармакологических свойств, токсичности при повторных </w:t>
      </w:r>
      <w:r w:rsidRPr="0016476C">
        <w:rPr>
          <w:color w:val="7030A0"/>
        </w:rPr>
        <w:t>доз</w:t>
      </w:r>
      <w:r w:rsidR="0016476C" w:rsidRPr="0016476C">
        <w:rPr>
          <w:color w:val="7030A0"/>
        </w:rPr>
        <w:t>ах</w:t>
      </w:r>
      <w:r w:rsidRPr="0016476C">
        <w:rPr>
          <w:color w:val="7030A0"/>
        </w:rPr>
        <w:t xml:space="preserve">, </w:t>
      </w:r>
      <w:proofErr w:type="spellStart"/>
      <w:r w:rsidRPr="00A56D2E">
        <w:t>генотоксичности</w:t>
      </w:r>
      <w:proofErr w:type="spellEnd"/>
      <w:r w:rsidRPr="00A56D2E">
        <w:t xml:space="preserve">, </w:t>
      </w:r>
      <w:proofErr w:type="spellStart"/>
      <w:r w:rsidRPr="00A56D2E">
        <w:t>карциногенного</w:t>
      </w:r>
      <w:proofErr w:type="spellEnd"/>
      <w:r w:rsidRPr="00A56D2E">
        <w:t xml:space="preserve"> потенциала и репродуктивной токсичности не выявили никакого специфического риска для человека.</w:t>
      </w:r>
    </w:p>
    <w:p w14:paraId="6403C416" w14:textId="77777777" w:rsidR="00AF2B55" w:rsidRPr="00A56D2E" w:rsidRDefault="00AF2B55" w:rsidP="005019F9">
      <w:pPr>
        <w:jc w:val="both"/>
      </w:pPr>
    </w:p>
    <w:p w14:paraId="7F8670AE" w14:textId="77777777" w:rsidR="00DB4199" w:rsidRPr="00A56D2E" w:rsidRDefault="00DB4199" w:rsidP="00832886">
      <w:pPr>
        <w:pStyle w:val="Default"/>
        <w:tabs>
          <w:tab w:val="left" w:pos="426"/>
        </w:tabs>
        <w:autoSpaceDE/>
        <w:autoSpaceDN/>
        <w:adjustRightInd/>
        <w:jc w:val="both"/>
        <w:rPr>
          <w:b/>
          <w:color w:val="auto"/>
          <w:lang w:val="ru-RU"/>
        </w:rPr>
      </w:pPr>
      <w:r w:rsidRPr="00A56D2E">
        <w:rPr>
          <w:b/>
          <w:lang w:val="ru-RU"/>
        </w:rPr>
        <w:t xml:space="preserve">6.    </w:t>
      </w:r>
      <w:r w:rsidRPr="00A56D2E">
        <w:rPr>
          <w:b/>
          <w:bCs/>
          <w:color w:val="auto"/>
          <w:lang w:val="ru-RU"/>
        </w:rPr>
        <w:t xml:space="preserve">ФАРМАЦЕВТИЧЕСКИЕ </w:t>
      </w:r>
      <w:r w:rsidR="007E316D" w:rsidRPr="007E316D">
        <w:rPr>
          <w:b/>
          <w:bCs/>
          <w:color w:val="FF0000"/>
          <w:lang w:val="ru-RU"/>
        </w:rPr>
        <w:t>СВОЙСТВА</w:t>
      </w:r>
      <w:r w:rsidR="00AF2B55" w:rsidRPr="007E316D">
        <w:rPr>
          <w:b/>
          <w:bCs/>
          <w:color w:val="FF0000"/>
          <w:lang w:val="ru-RU"/>
        </w:rPr>
        <w:t xml:space="preserve"> </w:t>
      </w:r>
    </w:p>
    <w:p w14:paraId="639DCA9B" w14:textId="77777777" w:rsidR="00DB4199" w:rsidRPr="00A56D2E" w:rsidRDefault="00DB4199" w:rsidP="005019F9">
      <w:pPr>
        <w:pStyle w:val="Default"/>
        <w:autoSpaceDE/>
        <w:autoSpaceDN/>
        <w:adjustRightInd/>
        <w:jc w:val="both"/>
        <w:rPr>
          <w:color w:val="auto"/>
          <w:lang w:val="ru-RU"/>
        </w:rPr>
      </w:pPr>
    </w:p>
    <w:p w14:paraId="37727ED7" w14:textId="77777777" w:rsidR="00DB4199" w:rsidRPr="00A56D2E" w:rsidRDefault="00DB4199" w:rsidP="00832886">
      <w:pPr>
        <w:pStyle w:val="Default"/>
        <w:tabs>
          <w:tab w:val="left" w:pos="426"/>
        </w:tabs>
        <w:autoSpaceDE/>
        <w:autoSpaceDN/>
        <w:adjustRightInd/>
        <w:jc w:val="both"/>
        <w:rPr>
          <w:color w:val="auto"/>
          <w:lang w:val="ru-RU"/>
        </w:rPr>
      </w:pPr>
      <w:r w:rsidRPr="00A56D2E">
        <w:rPr>
          <w:b/>
          <w:bCs/>
          <w:color w:val="auto"/>
          <w:lang w:val="ru-RU"/>
        </w:rPr>
        <w:t xml:space="preserve">6.1 </w:t>
      </w:r>
      <w:r w:rsidR="00832886">
        <w:rPr>
          <w:b/>
          <w:bCs/>
          <w:color w:val="auto"/>
          <w:lang w:val="ru-RU"/>
        </w:rPr>
        <w:tab/>
      </w:r>
      <w:r w:rsidR="00AF2B55" w:rsidRPr="00A56D2E">
        <w:rPr>
          <w:b/>
          <w:lang w:val="ru-RU"/>
        </w:rPr>
        <w:t>Перечень</w:t>
      </w:r>
      <w:r w:rsidR="00AF2B55" w:rsidRPr="00A56D2E">
        <w:rPr>
          <w:b/>
          <w:bCs/>
          <w:color w:val="auto"/>
          <w:lang w:val="ru-RU"/>
        </w:rPr>
        <w:t xml:space="preserve"> </w:t>
      </w:r>
      <w:r w:rsidRPr="00A56D2E">
        <w:rPr>
          <w:b/>
          <w:bCs/>
          <w:color w:val="auto"/>
          <w:lang w:val="ru-RU"/>
        </w:rPr>
        <w:t xml:space="preserve">вспомогательных веществ </w:t>
      </w:r>
    </w:p>
    <w:p w14:paraId="3E78D27A" w14:textId="77777777" w:rsidR="005019F9" w:rsidRPr="00A56D2E" w:rsidRDefault="00F10F72" w:rsidP="009D6F8E">
      <w:pPr>
        <w:spacing w:before="120"/>
        <w:jc w:val="both"/>
      </w:pPr>
      <w:r w:rsidRPr="00A56D2E">
        <w:t xml:space="preserve">Кремния диоксид коллоидный безводный, магния </w:t>
      </w:r>
      <w:proofErr w:type="spellStart"/>
      <w:r w:rsidRPr="00A56D2E">
        <w:t>стеарат</w:t>
      </w:r>
      <w:proofErr w:type="spellEnd"/>
      <w:r w:rsidRPr="00A56D2E">
        <w:t>, лактоз</w:t>
      </w:r>
      <w:r w:rsidR="00E5714F" w:rsidRPr="00E5714F">
        <w:rPr>
          <w:color w:val="FF0000"/>
        </w:rPr>
        <w:t>а</w:t>
      </w:r>
      <w:r w:rsidRPr="00E5714F">
        <w:rPr>
          <w:color w:val="FF0000"/>
        </w:rPr>
        <w:t xml:space="preserve"> </w:t>
      </w:r>
      <w:r w:rsidR="00E5714F" w:rsidRPr="00A56D2E">
        <w:t>моногидрат, целлюлоза</w:t>
      </w:r>
      <w:r w:rsidRPr="00A56D2E">
        <w:t xml:space="preserve"> микрокристаллическая, </w:t>
      </w:r>
      <w:proofErr w:type="spellStart"/>
      <w:r w:rsidRPr="00A56D2E">
        <w:t>гипромеллоза</w:t>
      </w:r>
      <w:proofErr w:type="spellEnd"/>
      <w:r w:rsidRPr="00A56D2E">
        <w:t xml:space="preserve"> 2910, титана диоксид (Е171), макрогол 400, сансет желтый C.I.15985 (E110).</w:t>
      </w:r>
    </w:p>
    <w:p w14:paraId="3C2F5A07" w14:textId="77777777" w:rsidR="002724E0" w:rsidRPr="00A56D2E" w:rsidRDefault="002724E0" w:rsidP="003E50E6">
      <w:pPr>
        <w:jc w:val="both"/>
        <w:rPr>
          <w:b/>
        </w:rPr>
      </w:pPr>
    </w:p>
    <w:p w14:paraId="7F9D91DC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6.2 </w:t>
      </w:r>
      <w:r w:rsidR="00832886">
        <w:rPr>
          <w:b/>
        </w:rPr>
        <w:tab/>
      </w:r>
      <w:r w:rsidRPr="00A56D2E">
        <w:rPr>
          <w:b/>
        </w:rPr>
        <w:t>Несовместимость</w:t>
      </w:r>
    </w:p>
    <w:p w14:paraId="5AF1A486" w14:textId="77777777" w:rsidR="00DB4199" w:rsidRPr="00A56D2E" w:rsidRDefault="00DB4199" w:rsidP="009D6F8E">
      <w:pPr>
        <w:spacing w:before="120"/>
        <w:jc w:val="both"/>
      </w:pPr>
      <w:r w:rsidRPr="00A56D2E">
        <w:t>Неприменимо</w:t>
      </w:r>
    </w:p>
    <w:p w14:paraId="03418F69" w14:textId="77777777" w:rsidR="00DB4199" w:rsidRPr="00A56D2E" w:rsidRDefault="00DB4199" w:rsidP="005019F9">
      <w:pPr>
        <w:jc w:val="both"/>
      </w:pPr>
    </w:p>
    <w:p w14:paraId="052763C0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6.3 </w:t>
      </w:r>
      <w:r w:rsidR="00832886">
        <w:rPr>
          <w:b/>
        </w:rPr>
        <w:tab/>
      </w:r>
      <w:r w:rsidRPr="00A56D2E">
        <w:rPr>
          <w:b/>
        </w:rPr>
        <w:t>Срок годности</w:t>
      </w:r>
    </w:p>
    <w:p w14:paraId="532A5D7F" w14:textId="77777777" w:rsidR="00DB4199" w:rsidRDefault="00DB4199" w:rsidP="009D6F8E">
      <w:pPr>
        <w:spacing w:before="120"/>
        <w:jc w:val="both"/>
      </w:pPr>
      <w:r w:rsidRPr="00A56D2E">
        <w:t>4 года</w:t>
      </w:r>
      <w:r w:rsidR="00AB2D40">
        <w:t>.</w:t>
      </w:r>
    </w:p>
    <w:p w14:paraId="1B51AA12" w14:textId="77777777" w:rsidR="00AB2D40" w:rsidRPr="00AB2D40" w:rsidRDefault="00AB2D40" w:rsidP="00AB2D40">
      <w:pPr>
        <w:jc w:val="both"/>
        <w:rPr>
          <w:color w:val="FF0000"/>
        </w:rPr>
      </w:pPr>
      <w:r w:rsidRPr="00AB2D40">
        <w:rPr>
          <w:color w:val="FF0000"/>
        </w:rPr>
        <w:t>Не использовать препарат после истечения срока годности, указанного на упаковке!</w:t>
      </w:r>
    </w:p>
    <w:p w14:paraId="26F63009" w14:textId="77777777" w:rsidR="00AB2D40" w:rsidRPr="00AB2D40" w:rsidRDefault="00AB2D40" w:rsidP="00AB2D40">
      <w:pPr>
        <w:jc w:val="both"/>
        <w:rPr>
          <w:color w:val="FF0000"/>
        </w:rPr>
      </w:pPr>
      <w:r w:rsidRPr="00AB2D40">
        <w:rPr>
          <w:color w:val="FF0000"/>
        </w:rPr>
        <w:t>Датой истечения срока годности считается последний день указанного месяца.</w:t>
      </w:r>
    </w:p>
    <w:p w14:paraId="4D9D8549" w14:textId="77777777" w:rsidR="00DB4199" w:rsidRPr="00A56D2E" w:rsidRDefault="00DB4199" w:rsidP="005019F9">
      <w:pPr>
        <w:jc w:val="both"/>
      </w:pPr>
    </w:p>
    <w:p w14:paraId="2F0F2E51" w14:textId="77777777" w:rsidR="00DB4199" w:rsidRPr="00A56D2E" w:rsidRDefault="00DB4199" w:rsidP="00832886">
      <w:pPr>
        <w:tabs>
          <w:tab w:val="left" w:pos="426"/>
        </w:tabs>
        <w:jc w:val="both"/>
        <w:rPr>
          <w:b/>
          <w:bCs/>
        </w:rPr>
      </w:pPr>
      <w:r w:rsidRPr="00A56D2E">
        <w:rPr>
          <w:b/>
        </w:rPr>
        <w:t xml:space="preserve">6.4 </w:t>
      </w:r>
      <w:r w:rsidR="00832886">
        <w:rPr>
          <w:b/>
        </w:rPr>
        <w:tab/>
      </w:r>
      <w:r w:rsidR="00E636AF" w:rsidRPr="00A56D2E">
        <w:rPr>
          <w:b/>
        </w:rPr>
        <w:t>Условия</w:t>
      </w:r>
      <w:r w:rsidRPr="00A56D2E">
        <w:rPr>
          <w:b/>
          <w:bCs/>
        </w:rPr>
        <w:t xml:space="preserve"> хранени</w:t>
      </w:r>
      <w:r w:rsidR="00E636AF" w:rsidRPr="00A56D2E">
        <w:rPr>
          <w:b/>
          <w:bCs/>
        </w:rPr>
        <w:t>я</w:t>
      </w:r>
    </w:p>
    <w:p w14:paraId="7470A95F" w14:textId="77777777" w:rsidR="00DB4199" w:rsidRPr="00A56D2E" w:rsidRDefault="00F10F72" w:rsidP="009D6F8E">
      <w:pPr>
        <w:spacing w:before="120"/>
        <w:jc w:val="both"/>
        <w:rPr>
          <w:bCs/>
        </w:rPr>
      </w:pPr>
      <w:r w:rsidRPr="00A56D2E">
        <w:rPr>
          <w:bCs/>
        </w:rPr>
        <w:t>Хранить при температуре не выше 25°C,в недоступном для детей месте</w:t>
      </w:r>
      <w:r w:rsidR="00E636AF" w:rsidRPr="00A56D2E">
        <w:rPr>
          <w:bCs/>
        </w:rPr>
        <w:t>.</w:t>
      </w:r>
    </w:p>
    <w:p w14:paraId="211E9A73" w14:textId="77777777" w:rsidR="005019F9" w:rsidRDefault="005019F9" w:rsidP="005019F9">
      <w:pPr>
        <w:jc w:val="both"/>
      </w:pPr>
    </w:p>
    <w:p w14:paraId="2E17E7D9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6.5 </w:t>
      </w:r>
      <w:r w:rsidR="00832886">
        <w:rPr>
          <w:b/>
        </w:rPr>
        <w:tab/>
      </w:r>
      <w:r w:rsidR="00E636AF" w:rsidRPr="00A56D2E">
        <w:rPr>
          <w:b/>
        </w:rPr>
        <w:t>У</w:t>
      </w:r>
      <w:r w:rsidRPr="00A56D2E">
        <w:rPr>
          <w:b/>
        </w:rPr>
        <w:t>паковк</w:t>
      </w:r>
      <w:r w:rsidR="00E636AF" w:rsidRPr="00A56D2E">
        <w:rPr>
          <w:b/>
        </w:rPr>
        <w:t>а</w:t>
      </w:r>
    </w:p>
    <w:p w14:paraId="662640E7" w14:textId="77777777" w:rsidR="005019F9" w:rsidRPr="00A56D2E" w:rsidRDefault="00F10F72" w:rsidP="002D5397">
      <w:pPr>
        <w:spacing w:before="120"/>
        <w:jc w:val="both"/>
      </w:pPr>
      <w:r w:rsidRPr="00A56D2E">
        <w:t>По 10 таблеток</w:t>
      </w:r>
      <w:r w:rsidR="005019F9" w:rsidRPr="00A56D2E">
        <w:t>,</w:t>
      </w:r>
      <w:r w:rsidRPr="00A56D2E">
        <w:t xml:space="preserve"> покрытых оболочкой в блистере </w:t>
      </w:r>
      <w:r w:rsidR="00FB4090" w:rsidRPr="00A56D2E">
        <w:t>из</w:t>
      </w:r>
      <w:r w:rsidRPr="00A56D2E">
        <w:t xml:space="preserve"> </w:t>
      </w:r>
      <w:r w:rsidR="00FB4090" w:rsidRPr="00A56D2E">
        <w:t>ПВХ/ПВДХ/алюминиевой фольги</w:t>
      </w:r>
      <w:r w:rsidRPr="00A56D2E">
        <w:t xml:space="preserve">. </w:t>
      </w:r>
      <w:r w:rsidR="00FB4090" w:rsidRPr="00A56D2E">
        <w:t xml:space="preserve">1 или 3 блистера упакованы в картонную пачку вместе с инструкцией </w:t>
      </w:r>
      <w:r w:rsidR="00501C36" w:rsidRPr="00A531DE">
        <w:rPr>
          <w:lang w:eastAsia="en-US"/>
        </w:rPr>
        <w:t>по медицинскому применению для пациентов</w:t>
      </w:r>
      <w:r w:rsidRPr="00A56D2E">
        <w:t xml:space="preserve">. </w:t>
      </w:r>
    </w:p>
    <w:p w14:paraId="6494CC49" w14:textId="77777777" w:rsidR="009D6F8E" w:rsidRDefault="009D6F8E" w:rsidP="00832886">
      <w:pPr>
        <w:tabs>
          <w:tab w:val="left" w:pos="426"/>
        </w:tabs>
        <w:jc w:val="both"/>
        <w:rPr>
          <w:b/>
        </w:rPr>
      </w:pPr>
    </w:p>
    <w:p w14:paraId="3B6DFBB7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6.6 </w:t>
      </w:r>
      <w:r w:rsidR="00832886">
        <w:rPr>
          <w:b/>
        </w:rPr>
        <w:tab/>
      </w:r>
      <w:r w:rsidRPr="00A56D2E">
        <w:rPr>
          <w:b/>
        </w:rPr>
        <w:t>Меры предосторожности при</w:t>
      </w:r>
      <w:r w:rsidR="00E636AF" w:rsidRPr="00A56D2E">
        <w:rPr>
          <w:b/>
        </w:rPr>
        <w:t xml:space="preserve"> обращении и</w:t>
      </w:r>
      <w:r w:rsidRPr="00A56D2E">
        <w:rPr>
          <w:b/>
        </w:rPr>
        <w:t xml:space="preserve"> утилизации </w:t>
      </w:r>
    </w:p>
    <w:p w14:paraId="055E643D" w14:textId="77777777" w:rsidR="00DB4199" w:rsidRPr="00A56D2E" w:rsidRDefault="00DB4199" w:rsidP="009D6F8E">
      <w:pPr>
        <w:spacing w:before="120"/>
        <w:jc w:val="both"/>
      </w:pPr>
      <w:r w:rsidRPr="00A56D2E">
        <w:t xml:space="preserve">Специальных требований нет. </w:t>
      </w:r>
    </w:p>
    <w:p w14:paraId="113839F3" w14:textId="77777777" w:rsidR="00DB4199" w:rsidRPr="00A56D2E" w:rsidRDefault="00DB4199" w:rsidP="001B5AE8">
      <w:pPr>
        <w:spacing w:before="120"/>
        <w:jc w:val="both"/>
      </w:pPr>
      <w:r w:rsidRPr="00A56D2E">
        <w:rPr>
          <w:bCs/>
          <w:iCs/>
        </w:rPr>
        <w:t>Удаление любых количеств неиспользованного препарата или отходов следует выполнять в соответствии с местными требованиями</w:t>
      </w:r>
    </w:p>
    <w:p w14:paraId="3513E530" w14:textId="77777777" w:rsidR="00DB4199" w:rsidRPr="00A56D2E" w:rsidRDefault="00DB4199" w:rsidP="005019F9">
      <w:pPr>
        <w:jc w:val="both"/>
      </w:pPr>
    </w:p>
    <w:p w14:paraId="574C27F8" w14:textId="77777777" w:rsidR="00DB4199" w:rsidRPr="00A56D2E" w:rsidRDefault="00DB4199" w:rsidP="00832886">
      <w:pPr>
        <w:tabs>
          <w:tab w:val="left" w:pos="426"/>
        </w:tabs>
        <w:jc w:val="both"/>
        <w:rPr>
          <w:b/>
        </w:rPr>
      </w:pPr>
      <w:r w:rsidRPr="00A56D2E">
        <w:rPr>
          <w:b/>
        </w:rPr>
        <w:t xml:space="preserve">6.7 </w:t>
      </w:r>
      <w:r w:rsidR="00832886">
        <w:rPr>
          <w:b/>
        </w:rPr>
        <w:tab/>
      </w:r>
      <w:r w:rsidRPr="00A56D2E">
        <w:rPr>
          <w:b/>
        </w:rPr>
        <w:t xml:space="preserve">Условия отпуска </w:t>
      </w:r>
    </w:p>
    <w:p w14:paraId="1FA64484" w14:textId="77777777" w:rsidR="00DB4199" w:rsidRPr="00A56D2E" w:rsidRDefault="00DB4199" w:rsidP="001B5AE8">
      <w:pPr>
        <w:spacing w:before="120"/>
        <w:jc w:val="both"/>
      </w:pPr>
      <w:r w:rsidRPr="00A56D2E">
        <w:t>Отпускается без рецепта</w:t>
      </w:r>
      <w:r w:rsidR="002D5397">
        <w:t>.</w:t>
      </w:r>
    </w:p>
    <w:p w14:paraId="489F3340" w14:textId="77777777" w:rsidR="00DB4199" w:rsidRPr="00A56D2E" w:rsidRDefault="00DB4199" w:rsidP="001B5AE8">
      <w:pPr>
        <w:spacing w:before="120"/>
        <w:jc w:val="both"/>
      </w:pPr>
    </w:p>
    <w:p w14:paraId="1E7DFA0A" w14:textId="77777777" w:rsidR="00DB4199" w:rsidRPr="00A56D2E" w:rsidRDefault="00E636AF" w:rsidP="00832886">
      <w:pPr>
        <w:numPr>
          <w:ilvl w:val="0"/>
          <w:numId w:val="14"/>
        </w:numPr>
        <w:tabs>
          <w:tab w:val="num" w:pos="284"/>
          <w:tab w:val="left" w:pos="426"/>
        </w:tabs>
        <w:ind w:left="0" w:firstLine="0"/>
        <w:jc w:val="both"/>
        <w:rPr>
          <w:b/>
        </w:rPr>
      </w:pPr>
      <w:r w:rsidRPr="00A56D2E">
        <w:rPr>
          <w:b/>
        </w:rPr>
        <w:t>ИНФОРМАЦИЯ О ПРОИЗВОДИТЕЛЕ</w:t>
      </w:r>
    </w:p>
    <w:p w14:paraId="61EE18AA" w14:textId="77777777" w:rsidR="00DB4199" w:rsidRPr="00A56D2E" w:rsidRDefault="00E636AF" w:rsidP="001B5AE8">
      <w:pPr>
        <w:spacing w:before="120"/>
        <w:jc w:val="both"/>
        <w:rPr>
          <w:bCs/>
        </w:rPr>
      </w:pPr>
      <w:r w:rsidRPr="00A56D2E">
        <w:t>З</w:t>
      </w:r>
      <w:r w:rsidR="00DB4199" w:rsidRPr="00A56D2E">
        <w:t xml:space="preserve">АО </w:t>
      </w:r>
      <w:r w:rsidRPr="00A56D2E">
        <w:t>«</w:t>
      </w:r>
      <w:r w:rsidR="00DB4199" w:rsidRPr="00A56D2E">
        <w:rPr>
          <w:bCs/>
        </w:rPr>
        <w:t xml:space="preserve">Фармацевтический </w:t>
      </w:r>
      <w:r w:rsidR="000039E1" w:rsidRPr="00281E7B">
        <w:rPr>
          <w:bCs/>
          <w:color w:val="7030A0"/>
        </w:rPr>
        <w:t>з</w:t>
      </w:r>
      <w:r w:rsidR="00DB4199" w:rsidRPr="00A56D2E">
        <w:rPr>
          <w:bCs/>
        </w:rPr>
        <w:t>авод ЭГИС</w:t>
      </w:r>
      <w:r w:rsidRPr="00A56D2E">
        <w:rPr>
          <w:bCs/>
        </w:rPr>
        <w:t>»</w:t>
      </w:r>
    </w:p>
    <w:p w14:paraId="06351318" w14:textId="77777777" w:rsidR="00DB4199" w:rsidRPr="00A56D2E" w:rsidRDefault="00DB4199" w:rsidP="001B5AE8">
      <w:pPr>
        <w:jc w:val="both"/>
        <w:rPr>
          <w:bCs/>
        </w:rPr>
      </w:pPr>
      <w:r w:rsidRPr="00A56D2E">
        <w:rPr>
          <w:bCs/>
        </w:rPr>
        <w:t xml:space="preserve">1106 Будапешт, ул. Керестури 30-38 </w:t>
      </w:r>
    </w:p>
    <w:p w14:paraId="3D2A3152" w14:textId="77777777" w:rsidR="00DB4199" w:rsidRDefault="00DB4199" w:rsidP="001B5AE8">
      <w:pPr>
        <w:autoSpaceDE w:val="0"/>
        <w:autoSpaceDN w:val="0"/>
        <w:adjustRightInd w:val="0"/>
        <w:jc w:val="both"/>
      </w:pPr>
      <w:r w:rsidRPr="00A56D2E">
        <w:t>ВЕНГРИЯ</w:t>
      </w:r>
    </w:p>
    <w:p w14:paraId="16B2FA12" w14:textId="77777777" w:rsidR="001654FE" w:rsidRDefault="001654FE" w:rsidP="0016476C">
      <w:pPr>
        <w:jc w:val="both"/>
      </w:pPr>
    </w:p>
    <w:p w14:paraId="6B3051DD" w14:textId="77777777" w:rsidR="0016476C" w:rsidRPr="0016476C" w:rsidRDefault="0016476C" w:rsidP="0016476C">
      <w:pPr>
        <w:jc w:val="both"/>
        <w:rPr>
          <w:color w:val="7030A0"/>
          <w:lang w:val="hu-HU"/>
        </w:rPr>
      </w:pPr>
      <w:r w:rsidRPr="0016476C">
        <w:rPr>
          <w:color w:val="7030A0"/>
          <w:lang w:val="hu-HU"/>
        </w:rPr>
        <w:t xml:space="preserve">Представительство ЗАО «Фармацевтический </w:t>
      </w:r>
      <w:r w:rsidR="0049752E">
        <w:rPr>
          <w:color w:val="7030A0"/>
        </w:rPr>
        <w:t>з</w:t>
      </w:r>
      <w:r w:rsidRPr="0016476C">
        <w:rPr>
          <w:color w:val="7030A0"/>
          <w:lang w:val="hu-HU"/>
        </w:rPr>
        <w:t>авод ЭГИС» в Республике Беларусь</w:t>
      </w:r>
    </w:p>
    <w:p w14:paraId="37C17682" w14:textId="77777777" w:rsidR="0016476C" w:rsidRPr="0016476C" w:rsidRDefault="0016476C" w:rsidP="0016476C">
      <w:pPr>
        <w:jc w:val="both"/>
        <w:rPr>
          <w:color w:val="7030A0"/>
          <w:lang w:val="hu-HU"/>
        </w:rPr>
      </w:pPr>
      <w:r w:rsidRPr="0016476C">
        <w:rPr>
          <w:color w:val="7030A0"/>
          <w:lang w:val="hu-HU"/>
        </w:rPr>
        <w:t xml:space="preserve">220053, г. Минск, пер. Ермака, д. 6А </w:t>
      </w:r>
    </w:p>
    <w:p w14:paraId="13EC305F" w14:textId="77777777" w:rsidR="0016476C" w:rsidRPr="0016476C" w:rsidRDefault="0016476C" w:rsidP="0016476C">
      <w:pPr>
        <w:jc w:val="both"/>
        <w:rPr>
          <w:color w:val="7030A0"/>
          <w:lang w:val="hu-HU"/>
        </w:rPr>
      </w:pPr>
      <w:r w:rsidRPr="0016476C">
        <w:rPr>
          <w:color w:val="7030A0"/>
          <w:lang w:val="hu-HU"/>
        </w:rPr>
        <w:t>Контактные телефоны: (017) 380-00-80, факс (017)227-35-53</w:t>
      </w:r>
    </w:p>
    <w:p w14:paraId="67086980" w14:textId="77777777" w:rsidR="0016476C" w:rsidRPr="0016476C" w:rsidRDefault="0016476C" w:rsidP="0016476C">
      <w:pPr>
        <w:jc w:val="both"/>
        <w:rPr>
          <w:color w:val="7030A0"/>
        </w:rPr>
      </w:pPr>
      <w:r w:rsidRPr="0016476C">
        <w:rPr>
          <w:color w:val="7030A0"/>
        </w:rPr>
        <w:t xml:space="preserve">Электронная почта: </w:t>
      </w:r>
      <w:hyperlink r:id="rId15" w:history="1">
        <w:r w:rsidRPr="0016476C">
          <w:rPr>
            <w:rStyle w:val="af0"/>
            <w:color w:val="7030A0"/>
          </w:rPr>
          <w:t>info@egis.by</w:t>
        </w:r>
      </w:hyperlink>
    </w:p>
    <w:p w14:paraId="48C44E28" w14:textId="77777777" w:rsidR="0016476C" w:rsidRPr="0016476C" w:rsidRDefault="0016476C" w:rsidP="0016476C">
      <w:pPr>
        <w:autoSpaceDE w:val="0"/>
        <w:autoSpaceDN w:val="0"/>
        <w:adjustRightInd w:val="0"/>
        <w:jc w:val="both"/>
        <w:rPr>
          <w:color w:val="7030A0"/>
        </w:rPr>
      </w:pPr>
    </w:p>
    <w:p w14:paraId="2DF73BA2" w14:textId="77777777" w:rsidR="00DB4199" w:rsidRPr="00A56D2E" w:rsidRDefault="00DB4199" w:rsidP="001B5AE8">
      <w:pPr>
        <w:spacing w:before="120"/>
        <w:jc w:val="both"/>
      </w:pPr>
    </w:p>
    <w:sectPr w:rsidR="00DB4199" w:rsidRPr="00A56D2E" w:rsidSect="00A56D2E">
      <w:headerReference w:type="default" r:id="rId16"/>
      <w:footerReference w:type="default" r:id="rId17"/>
      <w:footerReference w:type="first" r:id="rId18"/>
      <w:pgSz w:w="11906" w:h="16838" w:code="9"/>
      <w:pgMar w:top="1361" w:right="991" w:bottom="136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6A395" w14:textId="77777777" w:rsidR="008F74FF" w:rsidRDefault="008F74FF" w:rsidP="003E50E6">
      <w:r>
        <w:separator/>
      </w:r>
    </w:p>
  </w:endnote>
  <w:endnote w:type="continuationSeparator" w:id="0">
    <w:p w14:paraId="3AF43F36" w14:textId="77777777" w:rsidR="008F74FF" w:rsidRDefault="008F74FF" w:rsidP="003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Ligh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C9F2" w14:textId="77777777" w:rsidR="007E45AC" w:rsidRPr="006A1788" w:rsidRDefault="007E45AC" w:rsidP="007E45AC">
    <w:pPr>
      <w:pStyle w:val="a8"/>
      <w:rPr>
        <w:rFonts w:ascii="Arial" w:hAnsi="Arial" w:cs="Arial"/>
        <w:sz w:val="20"/>
        <w:lang w:val="en-US"/>
      </w:rPr>
    </w:pPr>
    <w:r w:rsidRPr="007E45AC">
      <w:rPr>
        <w:rFonts w:ascii="Arial" w:hAnsi="Arial" w:cs="Arial"/>
        <w:sz w:val="16"/>
        <w:lang w:val="hu-HU"/>
      </w:rPr>
      <w:t>Parlazin ftbl</w:t>
    </w:r>
    <w:r w:rsidRPr="007E45AC">
      <w:rPr>
        <w:rFonts w:ascii="Arial" w:hAnsi="Arial" w:cs="Arial"/>
        <w:sz w:val="16"/>
        <w:lang w:val="en-GB"/>
      </w:rPr>
      <w:t xml:space="preserve"> </w:t>
    </w:r>
    <w:r w:rsidRPr="007E45AC">
      <w:rPr>
        <w:rFonts w:ascii="Arial" w:hAnsi="Arial" w:cs="Arial"/>
        <w:sz w:val="16"/>
        <w:lang w:val="hu-HU"/>
      </w:rPr>
      <w:t xml:space="preserve">SmPC </w:t>
    </w:r>
    <w:r w:rsidR="006A1788">
      <w:rPr>
        <w:rFonts w:ascii="Arial" w:hAnsi="Arial" w:cs="Arial"/>
        <w:sz w:val="16"/>
        <w:lang w:val="hu-HU"/>
      </w:rPr>
      <w:t xml:space="preserve"> inf </w:t>
    </w:r>
    <w:r w:rsidRPr="007E45AC">
      <w:rPr>
        <w:rFonts w:ascii="Arial" w:hAnsi="Arial" w:cs="Arial"/>
        <w:sz w:val="16"/>
        <w:lang w:val="hu-HU"/>
      </w:rPr>
      <w:t>BY 201</w:t>
    </w:r>
    <w:r w:rsidRPr="006A1788">
      <w:rPr>
        <w:rFonts w:ascii="Arial" w:hAnsi="Arial" w:cs="Arial"/>
        <w:sz w:val="16"/>
        <w:lang w:val="en-US"/>
      </w:rPr>
      <w:t>80</w:t>
    </w:r>
    <w:r w:rsidR="006A1788">
      <w:rPr>
        <w:rFonts w:ascii="Arial" w:hAnsi="Arial" w:cs="Arial"/>
        <w:sz w:val="16"/>
        <w:lang w:val="en-US"/>
      </w:rPr>
      <w:t>5</w:t>
    </w:r>
  </w:p>
  <w:p w14:paraId="49412DEB" w14:textId="77777777" w:rsidR="003E50E6" w:rsidRPr="006A1788" w:rsidRDefault="003E50E6">
    <w:pPr>
      <w:pStyle w:val="a8"/>
      <w:rPr>
        <w:lang w:val="en-US"/>
      </w:rPr>
    </w:pPr>
  </w:p>
  <w:p w14:paraId="648B6483" w14:textId="77777777" w:rsidR="007E45AC" w:rsidRPr="006A1788" w:rsidRDefault="006A1788" w:rsidP="006A1788">
    <w:pPr>
      <w:pStyle w:val="a8"/>
      <w:tabs>
        <w:tab w:val="clear" w:pos="4536"/>
        <w:tab w:val="clear" w:pos="9072"/>
        <w:tab w:val="left" w:pos="3210"/>
      </w:tabs>
      <w:rPr>
        <w:lang w:val="en-US"/>
      </w:rPr>
    </w:pP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5F95" w14:textId="77777777" w:rsidR="003E50E6" w:rsidRPr="006079C8" w:rsidRDefault="003E50E6" w:rsidP="003E50E6">
    <w:pPr>
      <w:pStyle w:val="a8"/>
      <w:rPr>
        <w:rFonts w:ascii="Arial" w:hAnsi="Arial" w:cs="Arial"/>
        <w:sz w:val="20"/>
        <w:lang w:val="en-US"/>
      </w:rPr>
    </w:pPr>
    <w:r w:rsidRPr="007E45AC">
      <w:rPr>
        <w:rFonts w:ascii="Arial" w:hAnsi="Arial" w:cs="Arial"/>
        <w:sz w:val="16"/>
        <w:lang w:val="hu-HU"/>
      </w:rPr>
      <w:t>Parlazin ftbl</w:t>
    </w:r>
    <w:r w:rsidRPr="007E45AC">
      <w:rPr>
        <w:rFonts w:ascii="Arial" w:hAnsi="Arial" w:cs="Arial"/>
        <w:sz w:val="16"/>
        <w:lang w:val="en-GB"/>
      </w:rPr>
      <w:t xml:space="preserve"> </w:t>
    </w:r>
    <w:r w:rsidRPr="007E45AC">
      <w:rPr>
        <w:rFonts w:ascii="Arial" w:hAnsi="Arial" w:cs="Arial"/>
        <w:sz w:val="16"/>
        <w:lang w:val="hu-HU"/>
      </w:rPr>
      <w:t xml:space="preserve">SmPC </w:t>
    </w:r>
    <w:r w:rsidR="006079C8">
      <w:rPr>
        <w:rFonts w:ascii="Arial" w:hAnsi="Arial" w:cs="Arial"/>
        <w:sz w:val="16"/>
        <w:lang w:val="en-US"/>
      </w:rPr>
      <w:t xml:space="preserve">inf </w:t>
    </w:r>
    <w:r w:rsidR="007E45AC" w:rsidRPr="007E45AC">
      <w:rPr>
        <w:rFonts w:ascii="Arial" w:hAnsi="Arial" w:cs="Arial"/>
        <w:sz w:val="16"/>
        <w:lang w:val="hu-HU"/>
      </w:rPr>
      <w:t xml:space="preserve">BY </w:t>
    </w:r>
    <w:r w:rsidRPr="007E45AC">
      <w:rPr>
        <w:rFonts w:ascii="Arial" w:hAnsi="Arial" w:cs="Arial"/>
        <w:sz w:val="16"/>
        <w:lang w:val="hu-HU"/>
      </w:rPr>
      <w:t>201</w:t>
    </w:r>
    <w:r w:rsidR="007E45AC" w:rsidRPr="006079C8">
      <w:rPr>
        <w:rFonts w:ascii="Arial" w:hAnsi="Arial" w:cs="Arial"/>
        <w:sz w:val="16"/>
        <w:lang w:val="en-US"/>
      </w:rPr>
      <w:t>8</w:t>
    </w:r>
    <w:r w:rsidR="00EA1F2A" w:rsidRPr="006079C8">
      <w:rPr>
        <w:rFonts w:ascii="Arial" w:hAnsi="Arial" w:cs="Arial"/>
        <w:sz w:val="16"/>
        <w:lang w:val="en-US"/>
      </w:rPr>
      <w:t>0</w:t>
    </w:r>
    <w:r w:rsidR="006079C8" w:rsidRPr="006079C8">
      <w:rPr>
        <w:rFonts w:ascii="Arial" w:hAnsi="Arial" w:cs="Arial"/>
        <w:sz w:val="16"/>
        <w:lang w:val="en-US"/>
      </w:rPr>
      <w:t>5</w:t>
    </w:r>
  </w:p>
  <w:p w14:paraId="4FBAAF3E" w14:textId="77777777" w:rsidR="003E50E6" w:rsidRPr="006079C8" w:rsidRDefault="003E50E6">
    <w:pPr>
      <w:pStyle w:val="a8"/>
      <w:rPr>
        <w:lang w:val="en-US"/>
      </w:rPr>
    </w:pPr>
  </w:p>
  <w:p w14:paraId="47E1CEBD" w14:textId="77777777" w:rsidR="007E45AC" w:rsidRPr="006079C8" w:rsidRDefault="007E45A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24864" w14:textId="77777777" w:rsidR="008F74FF" w:rsidRDefault="008F74FF" w:rsidP="003E50E6">
      <w:r>
        <w:separator/>
      </w:r>
    </w:p>
  </w:footnote>
  <w:footnote w:type="continuationSeparator" w:id="0">
    <w:p w14:paraId="265AF942" w14:textId="77777777" w:rsidR="008F74FF" w:rsidRDefault="008F74FF" w:rsidP="003E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AE09" w14:textId="77777777" w:rsidR="003E50E6" w:rsidRPr="003E50E6" w:rsidRDefault="003E50E6">
    <w:pPr>
      <w:pStyle w:val="a6"/>
      <w:jc w:val="center"/>
      <w:rPr>
        <w:sz w:val="20"/>
      </w:rPr>
    </w:pPr>
    <w:r w:rsidRPr="003E50E6">
      <w:rPr>
        <w:sz w:val="20"/>
      </w:rPr>
      <w:fldChar w:fldCharType="begin"/>
    </w:r>
    <w:r w:rsidRPr="003E50E6">
      <w:rPr>
        <w:sz w:val="20"/>
      </w:rPr>
      <w:instrText>PAGE   \* MERGEFORMAT</w:instrText>
    </w:r>
    <w:r w:rsidRPr="003E50E6">
      <w:rPr>
        <w:sz w:val="20"/>
      </w:rPr>
      <w:fldChar w:fldCharType="separate"/>
    </w:r>
    <w:r w:rsidR="00891A3D" w:rsidRPr="00891A3D">
      <w:rPr>
        <w:noProof/>
        <w:sz w:val="20"/>
        <w:lang w:val="hu-HU"/>
      </w:rPr>
      <w:t>10</w:t>
    </w:r>
    <w:r w:rsidRPr="003E50E6">
      <w:rPr>
        <w:sz w:val="20"/>
      </w:rPr>
      <w:fldChar w:fldCharType="end"/>
    </w:r>
  </w:p>
  <w:p w14:paraId="273E71EA" w14:textId="77777777" w:rsidR="003E50E6" w:rsidRDefault="003E50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992"/>
        </w:tabs>
      </w:pPr>
      <w:rPr>
        <w:rFonts w:cs="Times New Roman"/>
      </w:rPr>
    </w:lvl>
  </w:abstractNum>
  <w:abstractNum w:abstractNumId="1" w15:restartNumberingAfterBreak="0">
    <w:nsid w:val="018D3E0F"/>
    <w:multiLevelType w:val="hybridMultilevel"/>
    <w:tmpl w:val="796490DA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8839CA"/>
    <w:multiLevelType w:val="hybridMultilevel"/>
    <w:tmpl w:val="213EB48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572F6"/>
    <w:multiLevelType w:val="multilevel"/>
    <w:tmpl w:val="3B660E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cs="Times New Roman" w:hint="default"/>
      </w:rPr>
    </w:lvl>
  </w:abstractNum>
  <w:abstractNum w:abstractNumId="4" w15:restartNumberingAfterBreak="0">
    <w:nsid w:val="132241F2"/>
    <w:multiLevelType w:val="multilevel"/>
    <w:tmpl w:val="3B2095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BA196B"/>
    <w:multiLevelType w:val="hybridMultilevel"/>
    <w:tmpl w:val="5B5EAAB8"/>
    <w:lvl w:ilvl="0" w:tplc="C80E4D5C">
      <w:start w:val="2"/>
      <w:numFmt w:val="decimal"/>
      <w:lvlText w:val="%1."/>
      <w:lvlJc w:val="left"/>
      <w:pPr>
        <w:tabs>
          <w:tab w:val="num" w:pos="1050"/>
        </w:tabs>
        <w:ind w:left="1050" w:hanging="705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6" w15:restartNumberingAfterBreak="0">
    <w:nsid w:val="1F8A3683"/>
    <w:multiLevelType w:val="hybridMultilevel"/>
    <w:tmpl w:val="DEB0C1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F131A"/>
    <w:multiLevelType w:val="hybridMultilevel"/>
    <w:tmpl w:val="FD38D832"/>
    <w:lvl w:ilvl="0" w:tplc="EED649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B286F"/>
    <w:multiLevelType w:val="multilevel"/>
    <w:tmpl w:val="921CC2AE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 w15:restartNumberingAfterBreak="0">
    <w:nsid w:val="49BE38AA"/>
    <w:multiLevelType w:val="multilevel"/>
    <w:tmpl w:val="454E49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2116"/>
        </w:tabs>
        <w:ind w:left="-21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3534"/>
        </w:tabs>
        <w:ind w:left="-353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4592"/>
        </w:tabs>
        <w:ind w:left="-4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010"/>
        </w:tabs>
        <w:ind w:left="-60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68"/>
        </w:tabs>
        <w:ind w:left="-70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486"/>
        </w:tabs>
        <w:ind w:left="-848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04"/>
        </w:tabs>
        <w:ind w:left="-9904" w:hanging="1440"/>
      </w:pPr>
      <w:rPr>
        <w:rFonts w:cs="Times New Roman" w:hint="default"/>
      </w:rPr>
    </w:lvl>
  </w:abstractNum>
  <w:abstractNum w:abstractNumId="10" w15:restartNumberingAfterBreak="0">
    <w:nsid w:val="4D951809"/>
    <w:multiLevelType w:val="hybridMultilevel"/>
    <w:tmpl w:val="8D9033A4"/>
    <w:lvl w:ilvl="0" w:tplc="D422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D7241"/>
    <w:multiLevelType w:val="hybridMultilevel"/>
    <w:tmpl w:val="D8942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7F53"/>
    <w:multiLevelType w:val="hybridMultilevel"/>
    <w:tmpl w:val="A204EFB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121202"/>
    <w:multiLevelType w:val="hybridMultilevel"/>
    <w:tmpl w:val="C608CCD2"/>
    <w:lvl w:ilvl="0" w:tplc="7626264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E5E48D0"/>
    <w:multiLevelType w:val="hybridMultilevel"/>
    <w:tmpl w:val="183404AA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C3774D"/>
    <w:multiLevelType w:val="hybridMultilevel"/>
    <w:tmpl w:val="42541114"/>
    <w:lvl w:ilvl="0" w:tplc="634A8FEE">
      <w:start w:val="7"/>
      <w:numFmt w:val="decimal"/>
      <w:lvlText w:val="%1."/>
      <w:lvlJc w:val="left"/>
      <w:pPr>
        <w:tabs>
          <w:tab w:val="num" w:pos="-632"/>
        </w:tabs>
        <w:ind w:left="-63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  <w:rPr>
        <w:rFonts w:cs="Times New Roman"/>
      </w:rPr>
    </w:lvl>
  </w:abstractNum>
  <w:abstractNum w:abstractNumId="16" w15:restartNumberingAfterBreak="0">
    <w:nsid w:val="7AC64D0C"/>
    <w:multiLevelType w:val="hybridMultilevel"/>
    <w:tmpl w:val="3944545E"/>
    <w:lvl w:ilvl="0" w:tplc="D422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3982"/>
    <w:multiLevelType w:val="hybridMultilevel"/>
    <w:tmpl w:val="56AEE36A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5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A4"/>
    <w:rsid w:val="000001BD"/>
    <w:rsid w:val="000023BC"/>
    <w:rsid w:val="00003681"/>
    <w:rsid w:val="000039E1"/>
    <w:rsid w:val="000040A8"/>
    <w:rsid w:val="00026BE7"/>
    <w:rsid w:val="00027FA1"/>
    <w:rsid w:val="00030FFA"/>
    <w:rsid w:val="000343A8"/>
    <w:rsid w:val="000352C3"/>
    <w:rsid w:val="000355E7"/>
    <w:rsid w:val="00035F77"/>
    <w:rsid w:val="00045AAB"/>
    <w:rsid w:val="000678BB"/>
    <w:rsid w:val="00073F9B"/>
    <w:rsid w:val="000826A2"/>
    <w:rsid w:val="0008399F"/>
    <w:rsid w:val="00084832"/>
    <w:rsid w:val="000A454E"/>
    <w:rsid w:val="000B756F"/>
    <w:rsid w:val="000F4259"/>
    <w:rsid w:val="001055D8"/>
    <w:rsid w:val="0011650B"/>
    <w:rsid w:val="00122FA8"/>
    <w:rsid w:val="00132CF4"/>
    <w:rsid w:val="0014424B"/>
    <w:rsid w:val="001552F0"/>
    <w:rsid w:val="0016476C"/>
    <w:rsid w:val="001654FE"/>
    <w:rsid w:val="00165D2D"/>
    <w:rsid w:val="0017228D"/>
    <w:rsid w:val="00174320"/>
    <w:rsid w:val="00177581"/>
    <w:rsid w:val="00192775"/>
    <w:rsid w:val="00196F36"/>
    <w:rsid w:val="001B5AE8"/>
    <w:rsid w:val="001B7A9B"/>
    <w:rsid w:val="001C7D36"/>
    <w:rsid w:val="001D4DBC"/>
    <w:rsid w:val="001E1EF2"/>
    <w:rsid w:val="001E6451"/>
    <w:rsid w:val="001F06C8"/>
    <w:rsid w:val="001F0B20"/>
    <w:rsid w:val="001F6CF7"/>
    <w:rsid w:val="002014A8"/>
    <w:rsid w:val="00201E69"/>
    <w:rsid w:val="00210834"/>
    <w:rsid w:val="002145F0"/>
    <w:rsid w:val="00223257"/>
    <w:rsid w:val="00244EC6"/>
    <w:rsid w:val="002538D7"/>
    <w:rsid w:val="00256319"/>
    <w:rsid w:val="00263A73"/>
    <w:rsid w:val="0026780F"/>
    <w:rsid w:val="002724E0"/>
    <w:rsid w:val="0027549B"/>
    <w:rsid w:val="002818C0"/>
    <w:rsid w:val="00281E7B"/>
    <w:rsid w:val="002858F8"/>
    <w:rsid w:val="00287102"/>
    <w:rsid w:val="00291140"/>
    <w:rsid w:val="0029495D"/>
    <w:rsid w:val="002B700D"/>
    <w:rsid w:val="002B741E"/>
    <w:rsid w:val="002C2465"/>
    <w:rsid w:val="002D5397"/>
    <w:rsid w:val="002E55E3"/>
    <w:rsid w:val="002F1449"/>
    <w:rsid w:val="002F42A3"/>
    <w:rsid w:val="002F6FD4"/>
    <w:rsid w:val="0032467A"/>
    <w:rsid w:val="0032552E"/>
    <w:rsid w:val="00330370"/>
    <w:rsid w:val="003309F7"/>
    <w:rsid w:val="00333B75"/>
    <w:rsid w:val="0034509A"/>
    <w:rsid w:val="00345B6A"/>
    <w:rsid w:val="003468DA"/>
    <w:rsid w:val="0035452D"/>
    <w:rsid w:val="00355A10"/>
    <w:rsid w:val="00357CBD"/>
    <w:rsid w:val="00372F86"/>
    <w:rsid w:val="00374057"/>
    <w:rsid w:val="00377BE2"/>
    <w:rsid w:val="00386888"/>
    <w:rsid w:val="003920C1"/>
    <w:rsid w:val="003965DD"/>
    <w:rsid w:val="003B7CE1"/>
    <w:rsid w:val="003C0FD8"/>
    <w:rsid w:val="003C19ED"/>
    <w:rsid w:val="003C34C3"/>
    <w:rsid w:val="003C5869"/>
    <w:rsid w:val="003C5A24"/>
    <w:rsid w:val="003C6078"/>
    <w:rsid w:val="003D4266"/>
    <w:rsid w:val="003D5A3E"/>
    <w:rsid w:val="003E50E6"/>
    <w:rsid w:val="003E6C7E"/>
    <w:rsid w:val="00403C25"/>
    <w:rsid w:val="00414FC2"/>
    <w:rsid w:val="004249FC"/>
    <w:rsid w:val="004343D2"/>
    <w:rsid w:val="00436FFA"/>
    <w:rsid w:val="004549BD"/>
    <w:rsid w:val="00455D70"/>
    <w:rsid w:val="004561C9"/>
    <w:rsid w:val="00460553"/>
    <w:rsid w:val="00471059"/>
    <w:rsid w:val="00487E4B"/>
    <w:rsid w:val="0049057E"/>
    <w:rsid w:val="0049752E"/>
    <w:rsid w:val="004A1706"/>
    <w:rsid w:val="004A3186"/>
    <w:rsid w:val="004B3150"/>
    <w:rsid w:val="004C1610"/>
    <w:rsid w:val="004C2977"/>
    <w:rsid w:val="004E29F0"/>
    <w:rsid w:val="004F5CDA"/>
    <w:rsid w:val="005019F9"/>
    <w:rsid w:val="00501C36"/>
    <w:rsid w:val="00506F1D"/>
    <w:rsid w:val="005126DF"/>
    <w:rsid w:val="00523F5E"/>
    <w:rsid w:val="00547C1F"/>
    <w:rsid w:val="00552E79"/>
    <w:rsid w:val="00556385"/>
    <w:rsid w:val="00561F65"/>
    <w:rsid w:val="005717F7"/>
    <w:rsid w:val="005735ED"/>
    <w:rsid w:val="00582B73"/>
    <w:rsid w:val="00593564"/>
    <w:rsid w:val="005A29FC"/>
    <w:rsid w:val="005A7120"/>
    <w:rsid w:val="005A7417"/>
    <w:rsid w:val="005B10C2"/>
    <w:rsid w:val="005B3076"/>
    <w:rsid w:val="005D0E8E"/>
    <w:rsid w:val="005D0F50"/>
    <w:rsid w:val="005D1CB8"/>
    <w:rsid w:val="005E4DB9"/>
    <w:rsid w:val="005E5FCA"/>
    <w:rsid w:val="005F0B63"/>
    <w:rsid w:val="005F2690"/>
    <w:rsid w:val="006079C8"/>
    <w:rsid w:val="006114F2"/>
    <w:rsid w:val="00631070"/>
    <w:rsid w:val="0063333A"/>
    <w:rsid w:val="006617AD"/>
    <w:rsid w:val="0066283F"/>
    <w:rsid w:val="00667695"/>
    <w:rsid w:val="0069068A"/>
    <w:rsid w:val="00691BF3"/>
    <w:rsid w:val="0069277A"/>
    <w:rsid w:val="006A1788"/>
    <w:rsid w:val="006A4BA2"/>
    <w:rsid w:val="006A67C4"/>
    <w:rsid w:val="006C37E8"/>
    <w:rsid w:val="006D14F7"/>
    <w:rsid w:val="006E23B0"/>
    <w:rsid w:val="006F641E"/>
    <w:rsid w:val="0070028E"/>
    <w:rsid w:val="00722E3F"/>
    <w:rsid w:val="00724BEC"/>
    <w:rsid w:val="00742213"/>
    <w:rsid w:val="007467E7"/>
    <w:rsid w:val="00752CC8"/>
    <w:rsid w:val="00753DDD"/>
    <w:rsid w:val="00770826"/>
    <w:rsid w:val="007A5E91"/>
    <w:rsid w:val="007B4792"/>
    <w:rsid w:val="007C1B24"/>
    <w:rsid w:val="007C3B30"/>
    <w:rsid w:val="007C4FFD"/>
    <w:rsid w:val="007C6EA2"/>
    <w:rsid w:val="007D74E2"/>
    <w:rsid w:val="007E316D"/>
    <w:rsid w:val="007E45AC"/>
    <w:rsid w:val="00826C85"/>
    <w:rsid w:val="00832886"/>
    <w:rsid w:val="008349B9"/>
    <w:rsid w:val="0084283F"/>
    <w:rsid w:val="00842C13"/>
    <w:rsid w:val="008674F5"/>
    <w:rsid w:val="00877302"/>
    <w:rsid w:val="0088716D"/>
    <w:rsid w:val="0089022E"/>
    <w:rsid w:val="00891340"/>
    <w:rsid w:val="00891A3D"/>
    <w:rsid w:val="00896C52"/>
    <w:rsid w:val="008A4CB0"/>
    <w:rsid w:val="008D7697"/>
    <w:rsid w:val="008E1F98"/>
    <w:rsid w:val="008F03EE"/>
    <w:rsid w:val="008F27C6"/>
    <w:rsid w:val="008F74FF"/>
    <w:rsid w:val="00913FA0"/>
    <w:rsid w:val="00917C7B"/>
    <w:rsid w:val="009273C3"/>
    <w:rsid w:val="00935687"/>
    <w:rsid w:val="009447A4"/>
    <w:rsid w:val="00950C83"/>
    <w:rsid w:val="00960A96"/>
    <w:rsid w:val="009638F0"/>
    <w:rsid w:val="0097649E"/>
    <w:rsid w:val="00984701"/>
    <w:rsid w:val="00991A50"/>
    <w:rsid w:val="009923CE"/>
    <w:rsid w:val="009945B2"/>
    <w:rsid w:val="0099512A"/>
    <w:rsid w:val="009A2E74"/>
    <w:rsid w:val="009B130D"/>
    <w:rsid w:val="009B7EC9"/>
    <w:rsid w:val="009D3E42"/>
    <w:rsid w:val="009D6F8E"/>
    <w:rsid w:val="009E3C8C"/>
    <w:rsid w:val="009E6CB9"/>
    <w:rsid w:val="009F0815"/>
    <w:rsid w:val="00A03814"/>
    <w:rsid w:val="00A043E1"/>
    <w:rsid w:val="00A06C5C"/>
    <w:rsid w:val="00A0753B"/>
    <w:rsid w:val="00A21487"/>
    <w:rsid w:val="00A37A71"/>
    <w:rsid w:val="00A37B0E"/>
    <w:rsid w:val="00A45636"/>
    <w:rsid w:val="00A53CD5"/>
    <w:rsid w:val="00A56D2E"/>
    <w:rsid w:val="00A62E71"/>
    <w:rsid w:val="00A67D67"/>
    <w:rsid w:val="00A82FE9"/>
    <w:rsid w:val="00A93F09"/>
    <w:rsid w:val="00A94C58"/>
    <w:rsid w:val="00AA0478"/>
    <w:rsid w:val="00AA585C"/>
    <w:rsid w:val="00AB2D40"/>
    <w:rsid w:val="00AE34FA"/>
    <w:rsid w:val="00AE66D2"/>
    <w:rsid w:val="00AE6B96"/>
    <w:rsid w:val="00AF2B55"/>
    <w:rsid w:val="00AF3586"/>
    <w:rsid w:val="00AF35F8"/>
    <w:rsid w:val="00AF4128"/>
    <w:rsid w:val="00AF5836"/>
    <w:rsid w:val="00AF66FE"/>
    <w:rsid w:val="00B00A5E"/>
    <w:rsid w:val="00B01F4F"/>
    <w:rsid w:val="00B023EA"/>
    <w:rsid w:val="00B0288F"/>
    <w:rsid w:val="00B1366D"/>
    <w:rsid w:val="00B15474"/>
    <w:rsid w:val="00B16D0A"/>
    <w:rsid w:val="00B26A6F"/>
    <w:rsid w:val="00B32DAF"/>
    <w:rsid w:val="00B335E0"/>
    <w:rsid w:val="00B41816"/>
    <w:rsid w:val="00B55F39"/>
    <w:rsid w:val="00B569DD"/>
    <w:rsid w:val="00B63A0E"/>
    <w:rsid w:val="00B715C9"/>
    <w:rsid w:val="00B728B9"/>
    <w:rsid w:val="00B75E03"/>
    <w:rsid w:val="00B81C46"/>
    <w:rsid w:val="00B9204F"/>
    <w:rsid w:val="00B92281"/>
    <w:rsid w:val="00BD78EC"/>
    <w:rsid w:val="00C00148"/>
    <w:rsid w:val="00C230AA"/>
    <w:rsid w:val="00C27C58"/>
    <w:rsid w:val="00C3334D"/>
    <w:rsid w:val="00C42869"/>
    <w:rsid w:val="00C61EA3"/>
    <w:rsid w:val="00C64C96"/>
    <w:rsid w:val="00C73884"/>
    <w:rsid w:val="00C84078"/>
    <w:rsid w:val="00C84F65"/>
    <w:rsid w:val="00CA2FE2"/>
    <w:rsid w:val="00CB2FD0"/>
    <w:rsid w:val="00CC18F8"/>
    <w:rsid w:val="00CD0FA9"/>
    <w:rsid w:val="00CD5DFA"/>
    <w:rsid w:val="00CD6593"/>
    <w:rsid w:val="00CD7025"/>
    <w:rsid w:val="00CE0C1B"/>
    <w:rsid w:val="00CE4541"/>
    <w:rsid w:val="00CE6019"/>
    <w:rsid w:val="00CE75E0"/>
    <w:rsid w:val="00CF39B1"/>
    <w:rsid w:val="00CF4A43"/>
    <w:rsid w:val="00CF64CA"/>
    <w:rsid w:val="00CF7EC8"/>
    <w:rsid w:val="00D10923"/>
    <w:rsid w:val="00D153D4"/>
    <w:rsid w:val="00D45A43"/>
    <w:rsid w:val="00D528F3"/>
    <w:rsid w:val="00D52E0A"/>
    <w:rsid w:val="00D6334B"/>
    <w:rsid w:val="00D90C25"/>
    <w:rsid w:val="00D958B7"/>
    <w:rsid w:val="00D95D99"/>
    <w:rsid w:val="00DB4199"/>
    <w:rsid w:val="00DB5426"/>
    <w:rsid w:val="00DC0E18"/>
    <w:rsid w:val="00DC49CB"/>
    <w:rsid w:val="00DD52ED"/>
    <w:rsid w:val="00DE5E74"/>
    <w:rsid w:val="00DF5B32"/>
    <w:rsid w:val="00E1271E"/>
    <w:rsid w:val="00E149DB"/>
    <w:rsid w:val="00E17315"/>
    <w:rsid w:val="00E42CBF"/>
    <w:rsid w:val="00E5714F"/>
    <w:rsid w:val="00E574E5"/>
    <w:rsid w:val="00E636AF"/>
    <w:rsid w:val="00E758D9"/>
    <w:rsid w:val="00E85F54"/>
    <w:rsid w:val="00E8635E"/>
    <w:rsid w:val="00E90BD5"/>
    <w:rsid w:val="00E978F2"/>
    <w:rsid w:val="00EA103A"/>
    <w:rsid w:val="00EA1696"/>
    <w:rsid w:val="00EA1F2A"/>
    <w:rsid w:val="00EA777C"/>
    <w:rsid w:val="00EB55A8"/>
    <w:rsid w:val="00EC1607"/>
    <w:rsid w:val="00EC7810"/>
    <w:rsid w:val="00ED7449"/>
    <w:rsid w:val="00EE1719"/>
    <w:rsid w:val="00EE4619"/>
    <w:rsid w:val="00EF0B27"/>
    <w:rsid w:val="00F02039"/>
    <w:rsid w:val="00F03CB1"/>
    <w:rsid w:val="00F07BFC"/>
    <w:rsid w:val="00F108B6"/>
    <w:rsid w:val="00F10F72"/>
    <w:rsid w:val="00F128A4"/>
    <w:rsid w:val="00F1385D"/>
    <w:rsid w:val="00F13DCB"/>
    <w:rsid w:val="00F17582"/>
    <w:rsid w:val="00F1773A"/>
    <w:rsid w:val="00F23210"/>
    <w:rsid w:val="00F34C59"/>
    <w:rsid w:val="00F52556"/>
    <w:rsid w:val="00F60F00"/>
    <w:rsid w:val="00F8333F"/>
    <w:rsid w:val="00F83B8A"/>
    <w:rsid w:val="00FA5344"/>
    <w:rsid w:val="00FA754E"/>
    <w:rsid w:val="00FB3496"/>
    <w:rsid w:val="00FB4090"/>
    <w:rsid w:val="00FB4269"/>
    <w:rsid w:val="00FB4E2B"/>
    <w:rsid w:val="00FB679B"/>
    <w:rsid w:val="00FC189B"/>
    <w:rsid w:val="00FE0A27"/>
    <w:rsid w:val="00FF2DDF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7E7C1"/>
  <w14:defaultImageDpi w14:val="0"/>
  <w15:docId w15:val="{B2F30AB6-8D9D-4258-A959-24BC85C0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AE6B96"/>
    <w:pPr>
      <w:keepNext/>
      <w:numPr>
        <w:ilvl w:val="2"/>
        <w:numId w:val="5"/>
      </w:numPr>
      <w:suppressAutoHyphens/>
      <w:jc w:val="both"/>
      <w:outlineLvl w:val="2"/>
    </w:pPr>
    <w:rPr>
      <w:i/>
      <w:i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0674CC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3">
    <w:name w:val="Balloon Text"/>
    <w:basedOn w:val="a"/>
    <w:link w:val="a4"/>
    <w:uiPriority w:val="99"/>
    <w:semiHidden/>
    <w:rsid w:val="00F12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74CC"/>
    <w:rPr>
      <w:sz w:val="0"/>
      <w:szCs w:val="0"/>
      <w:lang w:val="ru-RU"/>
    </w:rPr>
  </w:style>
  <w:style w:type="table" w:styleId="a5">
    <w:name w:val="Table Grid"/>
    <w:basedOn w:val="a1"/>
    <w:uiPriority w:val="59"/>
    <w:rsid w:val="0010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m">
    <w:name w:val="főcím"/>
    <w:basedOn w:val="a"/>
    <w:next w:val="a"/>
    <w:rsid w:val="00D6334B"/>
    <w:pPr>
      <w:widowControl w:val="0"/>
      <w:tabs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7371"/>
      </w:tabs>
      <w:spacing w:line="360" w:lineRule="auto"/>
      <w:jc w:val="center"/>
    </w:pPr>
    <w:rPr>
      <w:b/>
      <w:iCs/>
      <w:caps/>
      <w:sz w:val="26"/>
      <w:szCs w:val="20"/>
      <w:lang w:val="en-US" w:eastAsia="en-US"/>
    </w:rPr>
  </w:style>
  <w:style w:type="paragraph" w:customStyle="1" w:styleId="Default">
    <w:name w:val="Default"/>
    <w:rsid w:val="00B023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3E50E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rsid w:val="003E50E6"/>
    <w:rPr>
      <w:sz w:val="24"/>
      <w:szCs w:val="24"/>
      <w:lang w:val="ru-RU"/>
    </w:rPr>
  </w:style>
  <w:style w:type="paragraph" w:styleId="a8">
    <w:name w:val="footer"/>
    <w:basedOn w:val="a"/>
    <w:link w:val="a9"/>
    <w:rsid w:val="003E50E6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rsid w:val="003E50E6"/>
    <w:rPr>
      <w:sz w:val="24"/>
      <w:szCs w:val="24"/>
      <w:lang w:val="ru-RU"/>
    </w:rPr>
  </w:style>
  <w:style w:type="character" w:styleId="aa">
    <w:name w:val="annotation reference"/>
    <w:basedOn w:val="a0"/>
    <w:rsid w:val="00AE34FA"/>
    <w:rPr>
      <w:sz w:val="16"/>
      <w:szCs w:val="16"/>
    </w:rPr>
  </w:style>
  <w:style w:type="paragraph" w:styleId="ab">
    <w:name w:val="annotation text"/>
    <w:basedOn w:val="a"/>
    <w:link w:val="ac"/>
    <w:rsid w:val="00AE34F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E34FA"/>
    <w:rPr>
      <w:lang w:val="ru-RU"/>
    </w:rPr>
  </w:style>
  <w:style w:type="paragraph" w:styleId="ad">
    <w:name w:val="annotation subject"/>
    <w:basedOn w:val="ab"/>
    <w:next w:val="ab"/>
    <w:link w:val="ae"/>
    <w:rsid w:val="00AE34FA"/>
    <w:rPr>
      <w:b/>
      <w:bCs/>
    </w:rPr>
  </w:style>
  <w:style w:type="character" w:customStyle="1" w:styleId="ae">
    <w:name w:val="Тема примечания Знак"/>
    <w:basedOn w:val="ac"/>
    <w:link w:val="ad"/>
    <w:rsid w:val="00AE34FA"/>
    <w:rPr>
      <w:b/>
      <w:bCs/>
      <w:lang w:val="ru-RU"/>
    </w:rPr>
  </w:style>
  <w:style w:type="paragraph" w:styleId="af">
    <w:name w:val="List Paragraph"/>
    <w:basedOn w:val="a"/>
    <w:uiPriority w:val="34"/>
    <w:qFormat/>
    <w:rsid w:val="00832886"/>
    <w:pPr>
      <w:ind w:left="720"/>
      <w:contextualSpacing/>
    </w:pPr>
  </w:style>
  <w:style w:type="character" w:styleId="af0">
    <w:name w:val="Hyperlink"/>
    <w:basedOn w:val="a0"/>
    <w:rsid w:val="00164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info@egis.b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793AECF110CE499AEF2F459B18A070" ma:contentTypeVersion="2" ma:contentTypeDescription="Új dokumentum létrehozása." ma:contentTypeScope="" ma:versionID="1fdfc3c80d44b29558235934ec7119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237C-F15C-4D86-83A6-3C404D77E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0FFA9-0A50-445D-8EAF-CAB46CD78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851E6-9BDF-428A-B239-B3BC0456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DB790-B9CD-4FE8-B619-837A4943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3288</Words>
  <Characters>18742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EGIS Gyógyszergyár Rt.</Company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17699</dc:creator>
  <cp:lastModifiedBy>y.zalatukhina</cp:lastModifiedBy>
  <cp:revision>68</cp:revision>
  <cp:lastPrinted>2018-07-06T06:57:00Z</cp:lastPrinted>
  <dcterms:created xsi:type="dcterms:W3CDTF">2017-10-26T13:10:00Z</dcterms:created>
  <dcterms:modified xsi:type="dcterms:W3CDTF">2018-07-06T06:57:00Z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0x010100DB793AECF110CE499AEF2F459B18A070</vt:lpwstr>
  </property>
</Properties>
</file>