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AC" w:rsidRPr="002D537D" w:rsidRDefault="00FC3DAC" w:rsidP="00A24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ИНСТРУКЦИЯ</w:t>
      </w:r>
    </w:p>
    <w:p w:rsidR="00FC3DAC" w:rsidRPr="002D537D" w:rsidRDefault="00FC3DAC" w:rsidP="00A24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по медицинскому применению препарата</w:t>
      </w:r>
    </w:p>
    <w:p w:rsidR="00FC3DAC" w:rsidRPr="002D537D" w:rsidRDefault="000922BD" w:rsidP="000922BD">
      <w:pPr>
        <w:pStyle w:val="ad"/>
        <w:rPr>
          <w:b w:val="0"/>
          <w:bCs w:val="0"/>
          <w:sz w:val="24"/>
          <w:szCs w:val="24"/>
          <w:lang w:val="hu-HU"/>
        </w:rPr>
      </w:pPr>
      <w:r w:rsidRPr="002D537D">
        <w:rPr>
          <w:b w:val="0"/>
          <w:bCs w:val="0"/>
          <w:sz w:val="24"/>
          <w:szCs w:val="24"/>
          <w:lang w:val="ru-RU"/>
        </w:rPr>
        <w:t>(информация для специалистов)</w:t>
      </w:r>
    </w:p>
    <w:p w:rsidR="00A832F4" w:rsidRPr="002D537D" w:rsidRDefault="00A832F4" w:rsidP="000922BD">
      <w:pPr>
        <w:pStyle w:val="ad"/>
        <w:rPr>
          <w:b w:val="0"/>
          <w:bCs w:val="0"/>
          <w:sz w:val="24"/>
          <w:szCs w:val="24"/>
          <w:lang w:val="hu-HU"/>
        </w:rPr>
      </w:pPr>
    </w:p>
    <w:p w:rsidR="00FC3DAC" w:rsidRPr="002D537D" w:rsidRDefault="00FC3DAC" w:rsidP="009B4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3DAC" w:rsidRPr="002D537D" w:rsidRDefault="00FC3DAC" w:rsidP="002D537D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B1CB7"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  <w:t>НА</w:t>
      </w:r>
      <w:r w:rsidR="0049165D" w:rsidRPr="007B1CB7"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  <w:t>ЗВАНИЕ</w:t>
      </w:r>
      <w:r w:rsidRPr="007B1CB7">
        <w:rPr>
          <w:rFonts w:ascii="Times New Roman" w:hAnsi="Times New Roman" w:cs="Times New Roman"/>
          <w:b/>
          <w:bCs/>
          <w:color w:val="7030A0"/>
          <w:sz w:val="24"/>
          <w:szCs w:val="24"/>
          <w:lang w:val="ru-RU"/>
        </w:rPr>
        <w:t xml:space="preserve"> </w:t>
      </w:r>
      <w:r w:rsidR="00C03E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ЛЕКАРСТВЕННОГО </w:t>
      </w:r>
      <w:r w:rsidR="0049165D"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СРЕДСТВА</w:t>
      </w:r>
    </w:p>
    <w:p w:rsidR="00A832F4" w:rsidRPr="002D537D" w:rsidRDefault="00FC3DAC" w:rsidP="00A832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Парлазин</w:t>
      </w:r>
      <w:r w:rsidRPr="002D537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sym w:font="Symbol" w:char="F0E2"/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Нео  </w:t>
      </w:r>
      <w:r w:rsidR="00A832F4"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капли для приема внутрь 5 мг/мл</w:t>
      </w:r>
    </w:p>
    <w:p w:rsidR="005F7A05" w:rsidRPr="002D537D" w:rsidRDefault="005F7A05" w:rsidP="002D537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Международное непатентованное название (МНН)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 (levocetirizine)</w:t>
      </w:r>
    </w:p>
    <w:p w:rsidR="00A832F4" w:rsidRPr="002D537D" w:rsidRDefault="00A832F4" w:rsidP="002D53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C3DAC" w:rsidRPr="002D537D" w:rsidRDefault="00FC3DAC" w:rsidP="002D537D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СОСТАВ</w:t>
      </w:r>
      <w:r w:rsidR="0030068F"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ЛЕКАРСТВЕННОГО СРЕДСТВА</w:t>
      </w:r>
    </w:p>
    <w:p w:rsidR="00A832F4" w:rsidRPr="002D537D" w:rsidRDefault="00A832F4" w:rsidP="00A8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5 мг левоцетиризина дигидрохлорида в 1 мл капель для приема внутрь.</w:t>
      </w:r>
    </w:p>
    <w:p w:rsidR="00A832F4" w:rsidRPr="002D537D" w:rsidRDefault="00A832F4" w:rsidP="00A8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CB7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Вспомогательные вещества с известным эффектом: </w:t>
      </w:r>
      <w:r w:rsidR="002D537D" w:rsidRPr="002D537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апли 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Парлазин</w:t>
      </w:r>
      <w:r w:rsidRPr="002D537D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sym w:font="Symbol" w:char="F0E2"/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Нео</w:t>
      </w: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 содержат </w:t>
      </w:r>
      <w:r w:rsidRPr="005704A1">
        <w:rPr>
          <w:rFonts w:ascii="Times New Roman" w:hAnsi="Times New Roman" w:cs="Times New Roman"/>
          <w:color w:val="FF0000"/>
          <w:sz w:val="24"/>
          <w:szCs w:val="24"/>
          <w:lang w:val="ru-RU"/>
        </w:rPr>
        <w:t>метил</w:t>
      </w:r>
      <w:r w:rsidR="002D537D" w:rsidRPr="005704A1">
        <w:rPr>
          <w:rFonts w:ascii="Times New Roman" w:hAnsi="Times New Roman" w:cs="Times New Roman"/>
          <w:color w:val="FF0000"/>
          <w:sz w:val="24"/>
          <w:szCs w:val="24"/>
          <w:lang w:val="hu-HU"/>
        </w:rPr>
        <w:t>-</w:t>
      </w:r>
      <w:r w:rsidRPr="005704A1">
        <w:rPr>
          <w:rFonts w:ascii="Times New Roman" w:hAnsi="Times New Roman" w:cs="Times New Roman"/>
          <w:color w:val="FF0000"/>
          <w:sz w:val="24"/>
          <w:szCs w:val="24"/>
          <w:lang w:val="ru-RU"/>
        </w:rPr>
        <w:t>парагидроксибензоат и пропил</w:t>
      </w:r>
      <w:r w:rsidR="002D537D" w:rsidRPr="005704A1">
        <w:rPr>
          <w:rFonts w:ascii="Times New Roman" w:hAnsi="Times New Roman" w:cs="Times New Roman"/>
          <w:color w:val="FF0000"/>
          <w:sz w:val="24"/>
          <w:szCs w:val="24"/>
          <w:lang w:val="hu-HU"/>
        </w:rPr>
        <w:t>-</w:t>
      </w:r>
      <w:r w:rsidRPr="005704A1">
        <w:rPr>
          <w:rFonts w:ascii="Times New Roman" w:hAnsi="Times New Roman" w:cs="Times New Roman"/>
          <w:color w:val="FF0000"/>
          <w:sz w:val="24"/>
          <w:szCs w:val="24"/>
          <w:lang w:val="ru-RU"/>
        </w:rPr>
        <w:t>парагидроксибензоат.</w:t>
      </w:r>
    </w:p>
    <w:p w:rsidR="00A832F4" w:rsidRPr="002D537D" w:rsidRDefault="00A832F4" w:rsidP="00A8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Полный перечень вспомогательных веществ см. в п. 6.1.</w:t>
      </w:r>
    </w:p>
    <w:p w:rsidR="00FC3DAC" w:rsidRPr="002D537D" w:rsidRDefault="00FC3DAC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DAC" w:rsidRPr="002D537D" w:rsidRDefault="00FC3DAC" w:rsidP="002D537D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ФОРМА</w:t>
      </w:r>
      <w:r w:rsidR="0030068F"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ВЫПУСКА</w:t>
      </w:r>
    </w:p>
    <w:p w:rsidR="00A832F4" w:rsidRPr="002D537D" w:rsidRDefault="00A832F4" w:rsidP="00A8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Капли для приема внутрь</w:t>
      </w:r>
      <w:r w:rsidR="005704A1" w:rsidRPr="005704A1">
        <w:rPr>
          <w:rFonts w:ascii="Times New Roman" w:hAnsi="Times New Roman" w:cs="Times New Roman"/>
          <w:color w:val="0070C0"/>
          <w:sz w:val="24"/>
          <w:szCs w:val="24"/>
          <w:lang w:val="ru-RU"/>
        </w:rPr>
        <w:t>.</w:t>
      </w:r>
    </w:p>
    <w:p w:rsidR="00A832F4" w:rsidRPr="002D537D" w:rsidRDefault="00A832F4" w:rsidP="00A8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Бесцветная или почти бесцветная сладкая жидкость без осадка, со слабым запахом уксусной кислоты.</w:t>
      </w:r>
    </w:p>
    <w:p w:rsidR="00FC3DAC" w:rsidRPr="002D537D" w:rsidRDefault="00FC3DAC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DAC" w:rsidRPr="002D537D" w:rsidRDefault="00FC3DAC" w:rsidP="00503E4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КЛИНИЧЕСКИЕ ХАРАКТЕРИСТИКИ</w:t>
      </w:r>
    </w:p>
    <w:p w:rsidR="00FC3DAC" w:rsidRPr="002D537D" w:rsidRDefault="00FC3DAC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4.1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Показания к применению</w:t>
      </w:r>
    </w:p>
    <w:p w:rsidR="00B965B7" w:rsidRPr="007B1CB7" w:rsidRDefault="00B965B7" w:rsidP="00B965B7">
      <w:pPr>
        <w:spacing w:before="120"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hu-HU" w:eastAsia="hu-HU"/>
        </w:rPr>
      </w:pP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У взрослых и детей в возрасте от 6 лет для лечения</w:t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следующих заболеваний: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br/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- </w:t>
      </w:r>
      <w:r w:rsidR="004A19AF" w:rsidRPr="004A19A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hu-HU"/>
        </w:rPr>
        <w:t>а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ллергический ринит, сезонный, круглогодичный и</w:t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ли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</w:t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персистирующий (сенная лихорадка, поллиноз)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br/>
      </w:r>
      <w:r w:rsidR="004A19AF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- </w:t>
      </w:r>
      <w:r w:rsidR="004A19AF" w:rsidRPr="004A19A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hu-HU"/>
        </w:rPr>
        <w:t>а</w:t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ллергический конъюнктивит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br/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- </w:t>
      </w:r>
      <w:r w:rsidR="004A19AF" w:rsidRPr="004A19A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hu-HU"/>
        </w:rPr>
        <w:t>х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роническ</w:t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ая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идиопатическая крапивница.</w:t>
      </w:r>
    </w:p>
    <w:p w:rsidR="000A73E4" w:rsidRDefault="00B965B7" w:rsidP="006127D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</w:pP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У детей в возрасте 2-6 лет для лечения</w:t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:</w:t>
      </w:r>
      <w:r w:rsidR="004A19AF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br/>
        <w:t>-</w:t>
      </w:r>
      <w:r w:rsidR="008C3DB5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</w:t>
      </w:r>
      <w:r w:rsidR="004A19AF" w:rsidRPr="004A19A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hu-HU"/>
        </w:rPr>
        <w:t>с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езонн</w:t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ого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аллергическ</w:t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ого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ринит</w:t>
      </w:r>
      <w:r w:rsidR="0006289B"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а</w:t>
      </w:r>
      <w:r w:rsidRPr="007B1CB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.</w:t>
      </w:r>
    </w:p>
    <w:p w:rsidR="000A73E4" w:rsidRDefault="000A73E4" w:rsidP="006127D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</w:pPr>
    </w:p>
    <w:p w:rsidR="00FC3DAC" w:rsidRPr="002D537D" w:rsidRDefault="00FD626A" w:rsidP="009B4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4.2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С</w:t>
      </w:r>
      <w:r w:rsidR="00FC3DAC"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пособ 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применения и дозы</w:t>
      </w:r>
    </w:p>
    <w:p w:rsidR="00FC3DAC" w:rsidRPr="002D537D" w:rsidRDefault="00FC3DAC" w:rsidP="009B4CC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Режим дозирования</w:t>
      </w:r>
    </w:p>
    <w:p w:rsidR="00FC3DAC" w:rsidRPr="002D537D" w:rsidRDefault="000F1BF1" w:rsidP="009B4CC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Взрослы</w:t>
      </w:r>
      <w:r w:rsidR="00957A65"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FC3DAC"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подростки </w:t>
      </w: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дети старше 6 лет</w:t>
      </w:r>
    </w:p>
    <w:p w:rsidR="00FC3DAC" w:rsidRPr="007B1CB7" w:rsidRDefault="00FC3DAC" w:rsidP="009B4CC9">
      <w:pPr>
        <w:pStyle w:val="a3"/>
        <w:rPr>
          <w:color w:val="7030A0"/>
          <w:sz w:val="24"/>
          <w:szCs w:val="24"/>
          <w:lang w:val="ru-RU"/>
        </w:rPr>
      </w:pPr>
      <w:r w:rsidRPr="002D537D">
        <w:rPr>
          <w:sz w:val="24"/>
          <w:szCs w:val="24"/>
          <w:lang w:val="ru-RU"/>
        </w:rPr>
        <w:t xml:space="preserve">Ежедневная рекомендуемая доза </w:t>
      </w:r>
      <w:r w:rsidR="007B74B8" w:rsidRPr="007B1CB7">
        <w:rPr>
          <w:color w:val="7030A0"/>
          <w:sz w:val="24"/>
          <w:szCs w:val="24"/>
          <w:lang w:val="ru-RU"/>
        </w:rPr>
        <w:t xml:space="preserve">составляет </w:t>
      </w:r>
      <w:r w:rsidRPr="002D537D">
        <w:rPr>
          <w:sz w:val="24"/>
          <w:szCs w:val="24"/>
          <w:lang w:val="ru-RU"/>
        </w:rPr>
        <w:t>5 мг</w:t>
      </w:r>
      <w:r w:rsidR="00827C20" w:rsidRPr="002D537D">
        <w:rPr>
          <w:sz w:val="24"/>
          <w:szCs w:val="24"/>
          <w:lang w:val="hu-HU"/>
        </w:rPr>
        <w:t xml:space="preserve"> </w:t>
      </w:r>
      <w:r w:rsidR="00827C20" w:rsidRPr="007B1CB7">
        <w:rPr>
          <w:color w:val="7030A0"/>
          <w:sz w:val="24"/>
          <w:szCs w:val="24"/>
          <w:lang w:val="ru-RU"/>
        </w:rPr>
        <w:t>один раз в день</w:t>
      </w:r>
      <w:r w:rsidRPr="005704A1">
        <w:rPr>
          <w:color w:val="0070C0"/>
          <w:sz w:val="24"/>
          <w:szCs w:val="24"/>
          <w:lang w:val="ru-RU"/>
        </w:rPr>
        <w:t xml:space="preserve"> </w:t>
      </w:r>
      <w:r w:rsidRPr="002D537D">
        <w:rPr>
          <w:sz w:val="24"/>
          <w:szCs w:val="24"/>
          <w:lang w:val="ru-RU"/>
        </w:rPr>
        <w:t>(</w:t>
      </w:r>
      <w:r w:rsidR="00DB2AF5" w:rsidRPr="002D537D">
        <w:rPr>
          <w:sz w:val="24"/>
          <w:szCs w:val="24"/>
          <w:lang w:val="ru-RU"/>
        </w:rPr>
        <w:t>1 мл капель или 20 капель из капельницы</w:t>
      </w:r>
      <w:r w:rsidRPr="002D537D">
        <w:rPr>
          <w:sz w:val="24"/>
          <w:szCs w:val="24"/>
          <w:lang w:val="ru-RU"/>
        </w:rPr>
        <w:t>).</w:t>
      </w:r>
      <w:r w:rsidR="00827C20" w:rsidRPr="002D537D">
        <w:rPr>
          <w:sz w:val="24"/>
          <w:szCs w:val="24"/>
          <w:lang w:val="ru-RU"/>
        </w:rPr>
        <w:t xml:space="preserve"> </w:t>
      </w:r>
      <w:r w:rsidR="00827C20" w:rsidRPr="007B1CB7">
        <w:rPr>
          <w:color w:val="7030A0"/>
          <w:sz w:val="24"/>
          <w:szCs w:val="24"/>
          <w:lang w:val="ru-RU"/>
        </w:rPr>
        <w:t>Детям в возрасте 6-12 лет рекомендуется разделить на два приема – по 10 капель утром и вечером.</w:t>
      </w:r>
    </w:p>
    <w:p w:rsidR="000F1BF1" w:rsidRPr="002D537D" w:rsidRDefault="000F1BF1" w:rsidP="000F1B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Дети в возрасте 2 - 6 лет </w:t>
      </w:r>
    </w:p>
    <w:p w:rsidR="00BD352C" w:rsidRDefault="00BD352C" w:rsidP="00BD352C">
      <w:pPr>
        <w:pStyle w:val="a3"/>
        <w:rPr>
          <w:sz w:val="24"/>
          <w:szCs w:val="24"/>
          <w:lang w:val="ru-RU"/>
        </w:rPr>
      </w:pPr>
      <w:r w:rsidRPr="008139BA">
        <w:rPr>
          <w:color w:val="00B050"/>
          <w:sz w:val="24"/>
          <w:szCs w:val="24"/>
          <w:lang w:val="ru-RU"/>
        </w:rPr>
        <w:t>Еж</w:t>
      </w:r>
      <w:r w:rsidRPr="002D537D">
        <w:rPr>
          <w:sz w:val="24"/>
          <w:szCs w:val="24"/>
          <w:lang w:val="ru-RU"/>
        </w:rPr>
        <w:t>едневная рекомендуемая доза равна 2,5 мг за два приема в равных дозах по 1,25 мг (2 раза по 5 капель из капельницы).</w:t>
      </w:r>
    </w:p>
    <w:p w:rsidR="00FC3DAC" w:rsidRPr="002D537D" w:rsidRDefault="00FC3DAC" w:rsidP="004850F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Пациенты с нарушением функции почек </w:t>
      </w:r>
    </w:p>
    <w:p w:rsidR="00FC3DAC" w:rsidRPr="002D537D" w:rsidRDefault="007B74B8" w:rsidP="009B4CC9">
      <w:pPr>
        <w:pStyle w:val="a3"/>
        <w:rPr>
          <w:sz w:val="24"/>
          <w:szCs w:val="24"/>
          <w:lang w:val="ru-RU"/>
        </w:rPr>
      </w:pPr>
      <w:r w:rsidRPr="002D537D">
        <w:rPr>
          <w:sz w:val="24"/>
          <w:szCs w:val="24"/>
          <w:lang w:val="ru-RU"/>
        </w:rPr>
        <w:t xml:space="preserve">Частоту дозирования </w:t>
      </w:r>
      <w:r w:rsidR="00FC3DAC" w:rsidRPr="002D537D">
        <w:rPr>
          <w:sz w:val="24"/>
          <w:szCs w:val="24"/>
          <w:lang w:val="ru-RU"/>
        </w:rPr>
        <w:t>следует устанавливать индивидуально в соответствии с функцией почек. В приведенной ниже таблице указаны необходимые изменения дозы. Для использования этой таблицы следует оценить клиренс креатинина у пациента (Cl</w:t>
      </w:r>
      <w:r w:rsidR="00FC3DAC" w:rsidRPr="002D537D">
        <w:rPr>
          <w:sz w:val="24"/>
          <w:szCs w:val="24"/>
          <w:vertAlign w:val="subscript"/>
          <w:lang w:val="ru-RU"/>
        </w:rPr>
        <w:t>cr</w:t>
      </w:r>
      <w:r w:rsidR="00FC3DAC" w:rsidRPr="002D537D">
        <w:rPr>
          <w:sz w:val="24"/>
          <w:szCs w:val="24"/>
          <w:lang w:val="ru-RU"/>
        </w:rPr>
        <w:t>) в мл/мин. После определения уровн</w:t>
      </w:r>
      <w:r w:rsidR="008139BA">
        <w:rPr>
          <w:sz w:val="24"/>
          <w:szCs w:val="24"/>
          <w:lang w:val="ru-RU"/>
        </w:rPr>
        <w:t xml:space="preserve">я </w:t>
      </w:r>
      <w:proofErr w:type="spellStart"/>
      <w:r w:rsidR="008139BA">
        <w:rPr>
          <w:sz w:val="24"/>
          <w:szCs w:val="24"/>
          <w:lang w:val="ru-RU"/>
        </w:rPr>
        <w:t>креатинина</w:t>
      </w:r>
      <w:proofErr w:type="spellEnd"/>
      <w:r w:rsidR="008139BA">
        <w:rPr>
          <w:sz w:val="24"/>
          <w:szCs w:val="24"/>
          <w:lang w:val="ru-RU"/>
        </w:rPr>
        <w:t xml:space="preserve"> сыворотки крови (</w:t>
      </w:r>
      <w:proofErr w:type="spellStart"/>
      <w:r w:rsidR="008139BA" w:rsidRPr="008139BA">
        <w:rPr>
          <w:color w:val="00B050"/>
          <w:sz w:val="24"/>
          <w:szCs w:val="24"/>
          <w:lang w:val="ru-RU"/>
        </w:rPr>
        <w:t>мкмоль</w:t>
      </w:r>
      <w:proofErr w:type="spellEnd"/>
      <w:r w:rsidR="008139BA" w:rsidRPr="008139BA">
        <w:rPr>
          <w:color w:val="00B050"/>
          <w:sz w:val="24"/>
          <w:szCs w:val="24"/>
          <w:lang w:val="ru-RU"/>
        </w:rPr>
        <w:t>/</w:t>
      </w:r>
      <w:r w:rsidR="00FC3DAC" w:rsidRPr="008139BA">
        <w:rPr>
          <w:color w:val="00B050"/>
          <w:sz w:val="24"/>
          <w:szCs w:val="24"/>
          <w:lang w:val="ru-RU"/>
        </w:rPr>
        <w:t xml:space="preserve">л) </w:t>
      </w:r>
      <w:r w:rsidR="00FC3DAC" w:rsidRPr="002D537D">
        <w:rPr>
          <w:sz w:val="24"/>
          <w:szCs w:val="24"/>
          <w:lang w:val="ru-RU"/>
        </w:rPr>
        <w:t xml:space="preserve">значение </w:t>
      </w:r>
      <w:proofErr w:type="spellStart"/>
      <w:r w:rsidR="00FC3DAC" w:rsidRPr="002D537D">
        <w:rPr>
          <w:sz w:val="24"/>
          <w:szCs w:val="24"/>
          <w:lang w:val="ru-RU"/>
        </w:rPr>
        <w:t>Cl</w:t>
      </w:r>
      <w:r w:rsidR="00FC3DAC" w:rsidRPr="002D537D">
        <w:rPr>
          <w:sz w:val="24"/>
          <w:szCs w:val="24"/>
          <w:vertAlign w:val="subscript"/>
          <w:lang w:val="ru-RU"/>
        </w:rPr>
        <w:t>cr</w:t>
      </w:r>
      <w:proofErr w:type="spellEnd"/>
      <w:r w:rsidR="00FC3DAC" w:rsidRPr="002D537D">
        <w:rPr>
          <w:sz w:val="24"/>
          <w:szCs w:val="24"/>
          <w:lang w:val="ru-RU"/>
        </w:rPr>
        <w:t xml:space="preserve"> (мл/мин) можно оценить по следующей формуле: </w:t>
      </w:r>
    </w:p>
    <w:p w:rsidR="00FC3DAC" w:rsidRPr="002D537D" w:rsidRDefault="007B74B8" w:rsidP="006127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</w:t>
      </w:r>
      <w:r w:rsidR="00F91F90"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DAC"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[140 – </w:t>
      </w:r>
      <w:r w:rsidR="00FC3DAC"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возраст (годы)</w:t>
      </w:r>
      <w:r w:rsidR="00FC3DAC" w:rsidRPr="002D537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C3DAC"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C3DAC"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sym w:font="Symbol" w:char="F0B4"/>
      </w:r>
      <w:r w:rsidR="00FC3DAC"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вес </w:t>
      </w:r>
      <w:r w:rsidR="00FC3DAC" w:rsidRPr="002D537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C3DAC"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>кг</w:t>
      </w:r>
      <w:r w:rsidR="00FC3DAC" w:rsidRPr="002D537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C4AB0" w:rsidRPr="002D537D" w:rsidRDefault="00FC3DAC" w:rsidP="00A2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Cl</w:t>
      </w:r>
      <w:r w:rsidRPr="002D537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cr</w:t>
      </w: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3C4AB0"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       ———————————————        </w:t>
      </w:r>
      <w:r w:rsidRPr="002D537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sym w:font="Symbol" w:char="F0B4"/>
      </w: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 0,85 </w:t>
      </w: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женщин)</w:t>
      </w:r>
      <w:r w:rsidR="003C4AB0"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FC3DAC" w:rsidRPr="002D537D" w:rsidRDefault="00FC3DAC" w:rsidP="003C4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0,82 </w:t>
      </w: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sym w:font="Symbol" w:char="F0B4"/>
      </w: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креатинин сыворотки </w:t>
      </w:r>
      <w:r w:rsidRPr="002D537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>мкмоль/л</w:t>
      </w:r>
      <w:r w:rsidRPr="002D537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C3DAC" w:rsidRPr="002D537D" w:rsidRDefault="00FC3DAC" w:rsidP="009B4CC9">
      <w:pPr>
        <w:jc w:val="both"/>
        <w:rPr>
          <w:rFonts w:ascii="Times New Roman" w:hAnsi="Times New Roman" w:cs="Times New Roman"/>
          <w:vanish/>
          <w:sz w:val="24"/>
          <w:szCs w:val="24"/>
          <w:lang w:val="ru-RU"/>
        </w:rPr>
      </w:pPr>
    </w:p>
    <w:p w:rsidR="00FC3DAC" w:rsidRPr="002D537D" w:rsidRDefault="00FC3DAC" w:rsidP="007D6E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Коррекция доз для пациентов с нарушением функции почек:</w:t>
      </w:r>
    </w:p>
    <w:tbl>
      <w:tblPr>
        <w:tblW w:w="493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5"/>
        <w:gridCol w:w="2693"/>
        <w:gridCol w:w="2703"/>
      </w:tblGrid>
      <w:tr w:rsidR="00F91F90" w:rsidRPr="002D537D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</w:tcPr>
          <w:p w:rsidR="00F91F90" w:rsidRPr="002D537D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</w:tcPr>
          <w:p w:rsidR="00F91F90" w:rsidRPr="002D537D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Клиренс креатинина (мл/мин)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</w:tcPr>
          <w:p w:rsidR="00F91F90" w:rsidRPr="002D537D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Доза и частота приема</w:t>
            </w:r>
          </w:p>
        </w:tc>
      </w:tr>
      <w:tr w:rsidR="00F91F90" w:rsidRPr="008A17CB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Нормальная функция почек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2719B8" wp14:editId="3B12649C">
                  <wp:extent cx="146050" cy="118745"/>
                  <wp:effectExtent l="0" t="0" r="6350" b="0"/>
                  <wp:docPr id="1" name="Kép 1" descr="GREATER-THAN OR EQUAL TO (880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ER-THAN OR EQUAL TO (880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491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49165D"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капель (5 мг)</w:t>
            </w: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один раз в день</w:t>
            </w:r>
          </w:p>
        </w:tc>
      </w:tr>
      <w:tr w:rsidR="00F91F90" w:rsidRPr="008A17CB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Легкое нарушение функции почек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– 79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49165D"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капель (5 мг) </w:t>
            </w: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день</w:t>
            </w:r>
          </w:p>
        </w:tc>
      </w:tr>
      <w:tr w:rsidR="00F91F90" w:rsidRPr="008A17CB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Умеренное нарушение функции почек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– 49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49165D"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капель (5 мг) </w:t>
            </w: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день</w:t>
            </w:r>
          </w:p>
        </w:tc>
      </w:tr>
      <w:tr w:rsidR="00F91F90" w:rsidRPr="008A17CB" w:rsidTr="007D6E62">
        <w:trPr>
          <w:trHeight w:val="652"/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Тяжелое нарушение функции почек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0F1BF1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10-29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49165D"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капель (5 мг) </w:t>
            </w: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каждые 3 дня</w:t>
            </w:r>
          </w:p>
        </w:tc>
      </w:tr>
      <w:tr w:rsidR="00F91F90" w:rsidRPr="002D537D" w:rsidTr="007D6E62">
        <w:trPr>
          <w:tblCellSpacing w:w="0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Конечная стадия заболевания почек – пациенты на диализе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 10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F90" w:rsidRPr="002D537D" w:rsidRDefault="00F91F90" w:rsidP="007D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Противопоказано</w:t>
            </w:r>
          </w:p>
        </w:tc>
      </w:tr>
    </w:tbl>
    <w:p w:rsidR="00AA151F" w:rsidRPr="002D537D" w:rsidRDefault="00AA151F" w:rsidP="007D6E62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Дети с нарушениями функции почек</w:t>
      </w:r>
    </w:p>
    <w:p w:rsidR="00AA151F" w:rsidRPr="002D537D" w:rsidRDefault="00AA151F" w:rsidP="009B4C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Дозу следует устанавливать индивидуально, учитывая клиренс креатинина и массу тела пациента.</w:t>
      </w:r>
      <w:r w:rsidR="00A2569F" w:rsidRPr="002D537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Отсутствуют специфические данные, касающиеся детей с нарушением функции почек.</w:t>
      </w:r>
    </w:p>
    <w:p w:rsidR="00A42A43" w:rsidRPr="002D537D" w:rsidRDefault="002E2E60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E2E60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ru-RU"/>
        </w:rPr>
        <w:t>Пациенты</w:t>
      </w:r>
      <w:r w:rsidRPr="002E2E60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</w:t>
      </w:r>
      <w:r w:rsidR="00A42A43" w:rsidRPr="002D537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с нарушением функции печени </w:t>
      </w:r>
    </w:p>
    <w:p w:rsidR="00A42A43" w:rsidRPr="002D537D" w:rsidRDefault="00A42A43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назначении препарата больным с изолированным нарушением функции печени каких-либо изменений дозы не требуется. Пациентам с сочетанным нарушением функции печени и почек рекомендуется уточнение дозы (см. выше раздел "Пациенты с нарушением функции почек"). </w:t>
      </w:r>
    </w:p>
    <w:p w:rsidR="00FC3DAC" w:rsidRPr="002D537D" w:rsidRDefault="00FC3DAC" w:rsidP="009B4CC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Способ применения</w:t>
      </w:r>
    </w:p>
    <w:p w:rsidR="00BD352C" w:rsidRPr="002D537D" w:rsidRDefault="00BD352C" w:rsidP="00BD352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Необходимое число капель следует отмерять с помощью капельницы в столовую ложку или стакан воды. Капли следует принимать внутрь немедленно после разведения независимо от приема пищи.</w:t>
      </w:r>
    </w:p>
    <w:p w:rsidR="00BD352C" w:rsidRPr="002D537D" w:rsidRDefault="00A42A43" w:rsidP="00BD352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D537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Продолжительность приема препарата</w:t>
      </w:r>
    </w:p>
    <w:p w:rsidR="006C279F" w:rsidRPr="002D537D" w:rsidRDefault="009A1A5C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интермиттирующем аллергическом рините </w:t>
      </w:r>
      <w:r w:rsidRPr="00C9018F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C9018F" w:rsidRPr="00C9018F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нал</w:t>
      </w:r>
      <w:r w:rsidR="008139BA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ичие симптомов на протяжении </w:t>
      </w:r>
      <w:r w:rsidR="00C9018F" w:rsidRPr="008139BA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>мен</w:t>
      </w:r>
      <w:r w:rsidR="008139BA" w:rsidRPr="008139BA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 xml:space="preserve">ее </w:t>
      </w:r>
      <w:r w:rsidR="008139BA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4 дней в неделю в течение </w:t>
      </w:r>
      <w:r w:rsidR="00C9018F" w:rsidRPr="008139BA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 xml:space="preserve">менее </w:t>
      </w:r>
      <w:r w:rsidR="00C9018F" w:rsidRPr="00C9018F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4 недель подряд</w:t>
      </w:r>
      <w:r w:rsidRPr="00C9018F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</w:t>
      </w:r>
      <w:r w:rsidR="00A42A43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родолжительность курса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лечения</w:t>
      </w:r>
      <w:r w:rsidR="00A42A43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зависит от вида, длительности и симптомов.</w:t>
      </w:r>
      <w:proofErr w:type="gramEnd"/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После исчезновения симптомов</w:t>
      </w:r>
      <w:r w:rsidR="006C279F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лечение можно прекратить и воз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обновить при </w:t>
      </w:r>
      <w:r w:rsidR="006C279F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повторном появлении.</w:t>
      </w:r>
      <w:r w:rsidR="006C279F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B965B7" w:rsidRPr="006127DA" w:rsidRDefault="006C279F" w:rsidP="007D79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</w:t>
      </w:r>
      <w:r w:rsidR="007F0984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персис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тирующем аллергическом рините (</w:t>
      </w:r>
      <w:r w:rsidR="00C9018F" w:rsidRPr="00C9018F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наличие симптомов на протяжении не менее 4 дней в неделю в течение не менее 4 недель подряд)</w:t>
      </w:r>
      <w:r w:rsidR="00C9018F" w:rsidRPr="00006BAD">
        <w:rPr>
          <w:bCs/>
          <w:sz w:val="24"/>
          <w:szCs w:val="24"/>
          <w:lang w:val="ru-RU"/>
        </w:rPr>
        <w:t xml:space="preserve"> </w:t>
      </w:r>
      <w:r w:rsidR="00E61138" w:rsidRPr="006127DA">
        <w:rPr>
          <w:rFonts w:ascii="Times New Roman" w:hAnsi="Times New Roman" w:cs="Times New Roman"/>
          <w:bCs/>
          <w:sz w:val="24"/>
          <w:szCs w:val="24"/>
          <w:lang w:val="ru-RU"/>
        </w:rPr>
        <w:t>рекомендуется постоянное лечение, пока пациент имеет контакт с аллергенами.</w:t>
      </w:r>
      <w:r w:rsidR="00A42A43"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настоящее время имеется клинический опыт применения левоцетиризина в </w:t>
      </w:r>
      <w:r w:rsidR="004850F6"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="00A42A43" w:rsidRPr="006127DA">
        <w:rPr>
          <w:rFonts w:ascii="Times New Roman" w:hAnsi="Times New Roman" w:cs="Times New Roman"/>
          <w:bCs/>
          <w:sz w:val="24"/>
          <w:szCs w:val="24"/>
          <w:lang w:val="ru-RU"/>
        </w:rPr>
        <w:t>таблет</w:t>
      </w:r>
      <w:r w:rsidR="004850F6" w:rsidRPr="006127DA">
        <w:rPr>
          <w:rFonts w:ascii="Times New Roman" w:hAnsi="Times New Roman" w:cs="Times New Roman"/>
          <w:bCs/>
          <w:sz w:val="24"/>
          <w:szCs w:val="24"/>
          <w:lang w:val="ru-RU"/>
        </w:rPr>
        <w:t>ок</w:t>
      </w:r>
      <w:r w:rsidR="007D6E62"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42A43" w:rsidRPr="006127DA">
        <w:rPr>
          <w:rFonts w:ascii="Times New Roman" w:hAnsi="Times New Roman" w:cs="Times New Roman"/>
          <w:bCs/>
          <w:sz w:val="24"/>
          <w:szCs w:val="24"/>
          <w:lang w:val="ru-RU"/>
        </w:rPr>
        <w:t>на протяжении 6 месяцев</w:t>
      </w:r>
      <w:r w:rsidR="00032FEA"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взрослых с персистирующем аллергическим ринитом</w:t>
      </w:r>
      <w:r w:rsidR="00A42A43"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9B4CC9" w:rsidRPr="002D537D" w:rsidRDefault="00B965B7" w:rsidP="00503E40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color w:val="0070C0"/>
          <w:sz w:val="24"/>
          <w:szCs w:val="24"/>
          <w:lang w:val="ru-RU"/>
        </w:rPr>
        <w:br/>
      </w:r>
      <w:r w:rsidR="009B4CC9"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4.3</w:t>
      </w:r>
      <w:r w:rsidR="009B4CC9"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Противопоказания</w:t>
      </w:r>
      <w:r w:rsidR="0069293A" w:rsidRPr="002D537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:rsidR="00106759" w:rsidRPr="002D537D" w:rsidRDefault="007D2719" w:rsidP="009B4CC9">
      <w:pPr>
        <w:pStyle w:val="ab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Повышенная чувствительность 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</w:t>
      </w:r>
      <w:proofErr w:type="spellStart"/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левоцетиризину</w:t>
      </w:r>
      <w:proofErr w:type="spellEnd"/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другим производным </w:t>
      </w:r>
      <w:proofErr w:type="spellStart"/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пиперазина</w:t>
      </w:r>
      <w:proofErr w:type="spellEnd"/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</w:t>
      </w:r>
      <w:r w:rsidR="00C9018F" w:rsidRPr="00C9018F">
        <w:rPr>
          <w:rFonts w:ascii="Times New Roman" w:hAnsi="Times New Roman" w:cs="Times New Roman"/>
          <w:color w:val="FF0000"/>
          <w:sz w:val="24"/>
          <w:szCs w:val="24"/>
          <w:lang w:val="ru-RU"/>
        </w:rPr>
        <w:t>какому-либо</w:t>
      </w:r>
      <w:r w:rsidR="00C9018F" w:rsidRPr="00006BAD">
        <w:rPr>
          <w:sz w:val="24"/>
          <w:szCs w:val="24"/>
          <w:lang w:val="ru-RU"/>
        </w:rPr>
        <w:t xml:space="preserve"> 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из вспомогательных компонентов препарата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, приведенных в разделе 6.1</w:t>
      </w:r>
      <w:r w:rsidR="0010675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D7972" w:rsidRPr="002D537D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</w:p>
    <w:p w:rsidR="009B4CC9" w:rsidRPr="002D537D" w:rsidRDefault="009B4CC9" w:rsidP="009B4CC9">
      <w:pPr>
        <w:pStyle w:val="ab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Противопоказан пациентам с тяжелой почечной недостаточностью (клиренс креатинина ниже 10 мл/мин).</w:t>
      </w:r>
    </w:p>
    <w:p w:rsidR="006634C7" w:rsidRPr="002D537D" w:rsidRDefault="006634C7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B4CC9" w:rsidRPr="002D537D" w:rsidRDefault="009B4CC9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4.4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30068F"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Меры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предосторожности при применении</w:t>
      </w:r>
    </w:p>
    <w:p w:rsidR="003E0106" w:rsidRDefault="00BD352C" w:rsidP="00CE33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ru-RU"/>
        </w:rPr>
      </w:pPr>
      <w:r w:rsidRPr="002D537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ru-RU"/>
        </w:rPr>
        <w:t>Парлазин</w:t>
      </w:r>
      <w:r w:rsidRPr="002D537D">
        <w:rPr>
          <w:rFonts w:ascii="Times New Roman" w:eastAsia="Times New Roman" w:hAnsi="Times New Roman" w:cs="Times New Roman"/>
          <w:bCs/>
          <w:snapToGrid w:val="0"/>
          <w:sz w:val="24"/>
          <w:szCs w:val="24"/>
          <w:vertAlign w:val="superscript"/>
          <w:lang w:val="ru-RU" w:eastAsia="ru-RU"/>
        </w:rPr>
        <w:sym w:font="Symbol" w:char="F0E2"/>
      </w:r>
      <w:r w:rsidRPr="002D537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ru-RU"/>
        </w:rPr>
        <w:t xml:space="preserve"> Нео в каплях не рекомендуется назначать младенцам и детям в возрасте до 2 лет в </w:t>
      </w:r>
      <w:r w:rsidRPr="006127D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ru-RU"/>
        </w:rPr>
        <w:t>связи с недостаточностью данных о применении препарата.</w:t>
      </w:r>
      <w:r w:rsidR="00CE338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ru-RU" w:eastAsia="ru-RU"/>
        </w:rPr>
        <w:t xml:space="preserve"> </w:t>
      </w:r>
    </w:p>
    <w:p w:rsidR="00CF168E" w:rsidRPr="00C9018F" w:rsidRDefault="00CF168E" w:rsidP="00CF168E">
      <w:pPr>
        <w:spacing w:before="120" w:after="12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9018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У </w:t>
      </w:r>
      <w:r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пациентов</w:t>
      </w:r>
      <w:r w:rsidRPr="00C9018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с нарушениями функции почек доза должна быть соответствующим образом скорректирована (см. раздел 4.2)</w:t>
      </w:r>
      <w:r w:rsidR="004A19AF">
        <w:rPr>
          <w:rFonts w:ascii="Times New Roman" w:hAnsi="Times New Roman" w:cs="Times New Roman"/>
          <w:color w:val="7030A0"/>
          <w:sz w:val="24"/>
          <w:szCs w:val="24"/>
          <w:lang w:val="ru-RU"/>
        </w:rPr>
        <w:t>.</w:t>
      </w:r>
    </w:p>
    <w:p w:rsidR="00CF168E" w:rsidRPr="00C9018F" w:rsidRDefault="009B4CC9" w:rsidP="00CF168E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  <w:lang w:val="hu-HU"/>
        </w:rPr>
      </w:pP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>Одновременный прием алкоголя требует осторожности</w:t>
      </w:r>
      <w:r w:rsidR="00CF168E"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CF168E"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так как </w:t>
      </w:r>
      <w:r w:rsidR="00C87187"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это может вызвать повышенную сонливость</w:t>
      </w:r>
      <w:r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(см. раздел 4.5).</w:t>
      </w:r>
    </w:p>
    <w:p w:rsidR="00827C20" w:rsidRPr="00C9018F" w:rsidRDefault="00827C20" w:rsidP="00827C20">
      <w:pPr>
        <w:spacing w:before="120" w:after="12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Особую</w:t>
      </w:r>
      <w:r w:rsidRPr="00C9018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осторожность следует проявлять у пациентов с факторами, предрасполагающими к задержке мочи (например, травмы спинного мозга или гиперплазии предстательной железы), так как левоцетиризин может повысить риск задержки мочи.</w:t>
      </w:r>
    </w:p>
    <w:p w:rsidR="00BD352C" w:rsidRPr="00C9018F" w:rsidRDefault="00BD352C" w:rsidP="00CF168E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</w:pPr>
      <w:r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Капли </w:t>
      </w:r>
      <w:proofErr w:type="spellStart"/>
      <w:r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Парлазин</w:t>
      </w:r>
      <w:proofErr w:type="spellEnd"/>
      <w:r w:rsidRPr="00C9018F">
        <w:rPr>
          <w:rFonts w:ascii="Times New Roman" w:hAnsi="Times New Roman" w:cs="Times New Roman"/>
          <w:bCs/>
          <w:color w:val="7030A0"/>
          <w:sz w:val="24"/>
          <w:szCs w:val="24"/>
          <w:vertAlign w:val="superscript"/>
          <w:lang w:val="ru-RU"/>
        </w:rPr>
        <w:sym w:font="Symbol" w:char="F0E2"/>
      </w:r>
      <w:r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Нео </w:t>
      </w:r>
      <w:r w:rsidR="008139BA" w:rsidRPr="008139BA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>содержат метил</w:t>
      </w:r>
      <w:r w:rsidR="00CC767F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>-</w:t>
      </w:r>
      <w:proofErr w:type="spellStart"/>
      <w:r w:rsidR="008139BA" w:rsidRPr="008139BA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>парагидроксибензоат</w:t>
      </w:r>
      <w:proofErr w:type="spellEnd"/>
      <w:r w:rsidR="008139BA" w:rsidRPr="008139BA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 xml:space="preserve"> и пропил</w:t>
      </w:r>
      <w:r w:rsidR="00CC767F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>-</w:t>
      </w:r>
      <w:proofErr w:type="spellStart"/>
      <w:r w:rsidR="008139BA" w:rsidRPr="008139BA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>парагидроксибензоат</w:t>
      </w:r>
      <w:proofErr w:type="spellEnd"/>
      <w:r w:rsidR="008139BA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>, которые</w:t>
      </w:r>
      <w:r w:rsidR="008139BA" w:rsidRPr="008139BA">
        <w:rPr>
          <w:rFonts w:ascii="Times New Roman" w:hAnsi="Times New Roman" w:cs="Times New Roman"/>
          <w:bCs/>
          <w:color w:val="00B050"/>
          <w:sz w:val="24"/>
          <w:szCs w:val="24"/>
          <w:lang w:val="ru-RU"/>
        </w:rPr>
        <w:t xml:space="preserve"> </w:t>
      </w:r>
      <w:r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могут вызвать аллергические реакции (иногда </w:t>
      </w:r>
      <w:r w:rsidR="008139BA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отсроченные</w:t>
      </w:r>
      <w:r w:rsidRPr="00C9018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).</w:t>
      </w:r>
    </w:p>
    <w:p w:rsidR="009B4CC9" w:rsidRPr="002D537D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CC9" w:rsidRPr="002D537D" w:rsidRDefault="009B4CC9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4.5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Взаимодействие с другими лекарственными </w:t>
      </w:r>
      <w:r w:rsidR="00247D30"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средствами</w:t>
      </w:r>
      <w:bookmarkStart w:id="0" w:name="_GoBack"/>
      <w:bookmarkEnd w:id="0"/>
    </w:p>
    <w:p w:rsidR="009B4CC9" w:rsidRPr="002D537D" w:rsidRDefault="009B4CC9" w:rsidP="00FA51C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Исследований взаимодействий левоц</w:t>
      </w:r>
      <w:r w:rsidR="00F53AF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етиризина с другими препаратами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30024" w:rsidRPr="00B30024">
        <w:rPr>
          <w:rFonts w:ascii="Times New Roman" w:hAnsi="Times New Roman" w:cs="Times New Roman"/>
          <w:color w:val="FF0000"/>
          <w:sz w:val="24"/>
          <w:szCs w:val="24"/>
          <w:lang w:val="ru-RU"/>
        </w:rPr>
        <w:t>не проводилось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Исследования взаимодействий рацемического вещества цетиризина </w:t>
      </w:r>
      <w:r w:rsidR="00F53AF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не выявили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клинически значимых нежелательных взаимодействий (с псевдоэфедрином, циметидином, кетоконазолом, эритромицином, азитромицином, глипизидом и диазепамом). Небольшое снижение клиренса цетиризина (16%) наблюдалось после многократного введения теофиллина (по 400 мг один раз в день) и цетиризина в разных дозах. В то же время выведение теофиллина не изменялось при одновременном введении цетиризина. </w:t>
      </w:r>
    </w:p>
    <w:p w:rsidR="007E4AF9" w:rsidRPr="002D537D" w:rsidRDefault="007E4AF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исследовании с повторными дозами ритонавира (600 мг два раза в сутки) и цетиризина </w:t>
      </w:r>
      <w:r w:rsidR="006F4F8C" w:rsidRPr="002D537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(10 мг/сутки) было показано, что экспозиция цетиризина повышается примерно на 40%, а диспозиция ритонавира незначительно изменялась (-11%) при совместном применении с цетиризином.</w:t>
      </w:r>
    </w:p>
    <w:p w:rsidR="009B4CC9" w:rsidRPr="002D537D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Степень всасывания </w:t>
      </w:r>
      <w:proofErr w:type="spellStart"/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снижается </w:t>
      </w:r>
      <w:r w:rsidR="00DB750D" w:rsidRPr="00DB750D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 приеме</w:t>
      </w:r>
      <w:r w:rsidR="00DB750D" w:rsidRPr="00DB750D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с</w:t>
      </w:r>
      <w:r w:rsidR="00DB750D" w:rsidRPr="00DB750D">
        <w:rPr>
          <w:rFonts w:ascii="Times New Roman" w:hAnsi="Times New Roman" w:cs="Times New Roman"/>
          <w:sz w:val="24"/>
          <w:szCs w:val="24"/>
          <w:lang w:val="ru-RU"/>
        </w:rPr>
        <w:t xml:space="preserve"> пищ</w:t>
      </w:r>
      <w:r w:rsidR="00DB750D" w:rsidRPr="00DB750D">
        <w:rPr>
          <w:rFonts w:ascii="Times New Roman" w:hAnsi="Times New Roman" w:cs="Times New Roman"/>
          <w:color w:val="FF0000"/>
          <w:sz w:val="24"/>
          <w:szCs w:val="24"/>
          <w:lang w:val="ru-RU"/>
        </w:rPr>
        <w:t>ей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но скорость всасывания снижается. </w:t>
      </w:r>
    </w:p>
    <w:p w:rsidR="00941E7B" w:rsidRPr="006127DA" w:rsidRDefault="00941E7B" w:rsidP="006127DA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B750D">
        <w:rPr>
          <w:rFonts w:ascii="Times New Roman" w:hAnsi="Times New Roman" w:cs="Times New Roman"/>
          <w:color w:val="7030A0"/>
          <w:sz w:val="24"/>
          <w:szCs w:val="24"/>
          <w:lang w:val="ru-RU"/>
        </w:rPr>
        <w:t>П</w:t>
      </w:r>
      <w:r w:rsidR="00564904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осле окончания лечения уровень </w:t>
      </w:r>
      <w:proofErr w:type="spellStart"/>
      <w:r w:rsidRPr="00DB750D">
        <w:rPr>
          <w:rFonts w:ascii="Times New Roman" w:hAnsi="Times New Roman" w:cs="Times New Roman"/>
          <w:color w:val="7030A0"/>
          <w:sz w:val="24"/>
          <w:szCs w:val="24"/>
          <w:lang w:val="ru-RU"/>
        </w:rPr>
        <w:t>левоцетириз</w:t>
      </w:r>
      <w:r w:rsidR="00564904">
        <w:rPr>
          <w:rFonts w:ascii="Times New Roman" w:hAnsi="Times New Roman" w:cs="Times New Roman"/>
          <w:color w:val="7030A0"/>
          <w:sz w:val="24"/>
          <w:szCs w:val="24"/>
          <w:lang w:val="ru-RU"/>
        </w:rPr>
        <w:t>ина</w:t>
      </w:r>
      <w:proofErr w:type="spellEnd"/>
      <w:r w:rsidR="00564904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в плазме крови понижается </w:t>
      </w:r>
      <w:r w:rsidR="00564904" w:rsidRPr="00564904">
        <w:rPr>
          <w:rFonts w:ascii="Times New Roman" w:hAnsi="Times New Roman" w:cs="Times New Roman"/>
          <w:color w:val="FF0000"/>
          <w:sz w:val="24"/>
          <w:szCs w:val="24"/>
          <w:lang w:val="ru-RU"/>
        </w:rPr>
        <w:t>с</w:t>
      </w:r>
      <w:r w:rsidRPr="0056490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564904" w:rsidRPr="00564904">
        <w:rPr>
          <w:rFonts w:ascii="Times New Roman" w:hAnsi="Times New Roman" w:cs="Times New Roman"/>
          <w:color w:val="FF0000"/>
          <w:sz w:val="24"/>
          <w:szCs w:val="24"/>
          <w:lang w:val="ru-RU"/>
        </w:rPr>
        <w:t>периодом</w:t>
      </w:r>
      <w:r w:rsidRPr="0056490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564904" w:rsidRPr="00564904">
        <w:rPr>
          <w:rFonts w:ascii="Times New Roman" w:hAnsi="Times New Roman" w:cs="Times New Roman"/>
          <w:color w:val="FF0000"/>
          <w:sz w:val="24"/>
          <w:szCs w:val="24"/>
          <w:lang w:val="ru-RU"/>
        </w:rPr>
        <w:t>полувыведения</w:t>
      </w:r>
      <w:r w:rsidRPr="00DB750D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около 8 часов. Аллергические пробы можно вновь проводить спустя три дня после отмены препарата</w:t>
      </w:r>
      <w:r w:rsidRPr="006127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4CC9" w:rsidRPr="002D537D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4CC9" w:rsidRPr="002D537D" w:rsidRDefault="009B4CC9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4.6</w:t>
      </w:r>
      <w:r w:rsidRPr="002D537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ab/>
        <w:t>Фертильность, беременность и грудное вскармливание</w:t>
      </w:r>
    </w:p>
    <w:p w:rsidR="009B4CC9" w:rsidRPr="002D537D" w:rsidRDefault="009B4CC9" w:rsidP="00FA51C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Беременность</w:t>
      </w:r>
    </w:p>
    <w:p w:rsidR="00964BB8" w:rsidRPr="00DB750D" w:rsidRDefault="009B4CC9" w:rsidP="009B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Данные клинических исследований левоцетиризина при беременности отсутствуют. Исследования, проведенные на животных, не выявили прямого или опосредованного </w:t>
      </w:r>
      <w:r w:rsidR="00964BB8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токсического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</w:t>
      </w: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эффекта на </w:t>
      </w:r>
      <w:r w:rsidR="00964BB8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течение </w:t>
      </w: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>беременност</w:t>
      </w:r>
      <w:r w:rsidR="00964BB8" w:rsidRPr="006127DA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развитие эмбриона или </w:t>
      </w:r>
      <w:r w:rsidR="00964BB8"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плода. </w:t>
      </w:r>
      <w:r w:rsidR="00964BB8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Потенциальный риск для человека неизвестен.</w:t>
      </w:r>
    </w:p>
    <w:p w:rsidR="009B4CC9" w:rsidRPr="002D537D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Следует соблюдать осторожность при назначении этого препарата беременным женщинам.</w:t>
      </w:r>
    </w:p>
    <w:p w:rsidR="00964BB8" w:rsidRPr="006127DA" w:rsidRDefault="009B4CC9" w:rsidP="00964BB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6127D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Грудное вскармливание</w:t>
      </w:r>
    </w:p>
    <w:p w:rsidR="00C37B58" w:rsidRPr="00DB750D" w:rsidRDefault="00C37B58" w:rsidP="0061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</w:pPr>
      <w:r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Левоцети</w:t>
      </w:r>
      <w:r w:rsidR="00964BB8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ризин не следует </w:t>
      </w:r>
      <w:r w:rsidR="00221EC0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принимать</w:t>
      </w:r>
      <w:r w:rsidR="00964BB8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в период грудного вскармливания</w:t>
      </w:r>
      <w:r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, поскольку</w:t>
      </w:r>
      <w:r w:rsidR="00964BB8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предполагается, что</w:t>
      </w:r>
      <w:r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он может </w:t>
      </w:r>
      <w:r w:rsidR="00221EC0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выделя</w:t>
      </w:r>
      <w:r w:rsidR="00964BB8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т</w:t>
      </w:r>
      <w:r w:rsidR="00221EC0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ь</w:t>
      </w:r>
      <w:r w:rsidR="00964BB8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>ся в грудное молоко.</w:t>
      </w:r>
      <w:r w:rsidR="00221EC0" w:rsidRPr="00DB750D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hu-HU"/>
        </w:rPr>
        <w:t xml:space="preserve"> </w:t>
      </w:r>
    </w:p>
    <w:p w:rsidR="009B4CC9" w:rsidRPr="002D537D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4CC9" w:rsidRPr="002D537D" w:rsidRDefault="009B4CC9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4.7</w:t>
      </w:r>
      <w:r w:rsidRPr="002D537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ab/>
        <w:t xml:space="preserve">Влияние на способность </w:t>
      </w:r>
      <w:r w:rsidR="00247D30" w:rsidRPr="002D537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управления транспортными средствами и работу с </w:t>
      </w:r>
      <w:r w:rsidRPr="002D537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механизмами</w:t>
      </w:r>
    </w:p>
    <w:p w:rsidR="009B4CC9" w:rsidRPr="002D537D" w:rsidRDefault="00F53AF9" w:rsidP="00FA51C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некоторы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пациент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ов</w:t>
      </w:r>
      <w:r w:rsidR="00C31C0A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препарат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Парлазин</w:t>
      </w:r>
      <w:r w:rsidRPr="002D537D"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  <w:sym w:font="Symbol" w:char="F0E2"/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Нео может вызвать 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сонливость, 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оэтому лица, </w:t>
      </w:r>
      <w:r w:rsidR="00DB750D" w:rsidRPr="00DB750D">
        <w:rPr>
          <w:rFonts w:ascii="Times New Roman" w:hAnsi="Times New Roman" w:cs="Times New Roman"/>
          <w:color w:val="FF0000"/>
          <w:sz w:val="24"/>
          <w:szCs w:val="24"/>
          <w:lang w:val="ru-RU"/>
        </w:rPr>
        <w:t>планирующие</w:t>
      </w:r>
      <w:r w:rsidR="00DB750D" w:rsidRPr="00006BAD">
        <w:rPr>
          <w:sz w:val="24"/>
          <w:szCs w:val="24"/>
          <w:lang w:val="ru-RU"/>
        </w:rPr>
        <w:t xml:space="preserve"> </w:t>
      </w:r>
      <w:r w:rsidR="00145A55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управлять 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автомобил</w:t>
      </w:r>
      <w:r w:rsidR="00145A55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ем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выполнять потенциально опасную деятельность или </w:t>
      </w:r>
      <w:r w:rsidR="00145A55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работать с 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механизмами</w:t>
      </w:r>
      <w:r w:rsidR="00C973B8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9B4CC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должны учитывать свою реакцию на препарат.</w:t>
      </w:r>
    </w:p>
    <w:p w:rsidR="009B4CC9" w:rsidRPr="002D537D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B4CC9" w:rsidRPr="002D537D" w:rsidRDefault="009B4CC9" w:rsidP="00503E4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4.8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Побочное действие</w:t>
      </w:r>
    </w:p>
    <w:p w:rsidR="00A61044" w:rsidRPr="006127DA" w:rsidRDefault="00A61044" w:rsidP="006127DA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127D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Данные клинических </w:t>
      </w:r>
      <w:r w:rsidR="00D34BD5" w:rsidRPr="006127DA">
        <w:rPr>
          <w:rFonts w:ascii="Times New Roman" w:hAnsi="Times New Roman" w:cs="Times New Roman"/>
          <w:bCs/>
          <w:i/>
          <w:sz w:val="24"/>
          <w:szCs w:val="24"/>
          <w:lang w:val="ru-RU"/>
        </w:rPr>
        <w:t>испытаний</w:t>
      </w:r>
    </w:p>
    <w:p w:rsidR="00E834B7" w:rsidRPr="00DB750D" w:rsidRDefault="00E834B7" w:rsidP="00E834B7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</w:pP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В клинических </w:t>
      </w:r>
      <w:r w:rsidR="00D34BD5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испытаниях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</w:t>
      </w:r>
      <w:r w:rsidR="00E30173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побочные реакции наблюдались 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у 1</w:t>
      </w:r>
      <w:r w:rsidR="00A61044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4,7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% пациентов,</w:t>
      </w:r>
      <w:r w:rsidR="00E30173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получавших левоцетиризин 5 мг,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по сравнению с 11,3% пац</w:t>
      </w:r>
      <w:r w:rsidR="00A61044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иент</w:t>
      </w:r>
      <w:r w:rsidR="00E30173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ов</w:t>
      </w:r>
      <w:r w:rsidR="00A61044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групп</w:t>
      </w:r>
      <w:r w:rsidR="00E30173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ы</w:t>
      </w:r>
      <w:r w:rsidR="00A61044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плацебо. 95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% этих побочных реакций </w:t>
      </w:r>
      <w:r w:rsidR="006F4F8C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были </w:t>
      </w:r>
      <w:r w:rsidR="00DB750D" w:rsidRPr="00DB750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легкими</w:t>
      </w:r>
      <w:r w:rsidRPr="00DB750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или умеренными.</w:t>
      </w:r>
    </w:p>
    <w:p w:rsidR="00E834B7" w:rsidRPr="00DB750D" w:rsidRDefault="00E834B7" w:rsidP="00E834B7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</w:pP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По результатам терапевтических исследований с левоцетиризином 5 мг </w:t>
      </w:r>
      <w:r w:rsidR="0070219C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0,7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% (</w:t>
      </w:r>
      <w:r w:rsidR="0070219C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4/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5</w:t>
      </w:r>
      <w:r w:rsidR="0070219C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38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) пациентов выбыл</w:t>
      </w:r>
      <w:r w:rsidR="00D34BD5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и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из исследования в связи с побочными реакциями,</w:t>
      </w:r>
      <w:r w:rsidR="00E646C6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что было </w:t>
      </w:r>
      <w:r w:rsidR="00F53AF9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сопоставимо</w:t>
      </w:r>
      <w:r w:rsidR="00E646C6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с частотой в группе плацебо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</w:t>
      </w:r>
      <w:r w:rsidR="00E646C6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-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</w:t>
      </w:r>
      <w:r w:rsidR="0070219C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0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,8% (</w:t>
      </w:r>
      <w:r w:rsidR="0070219C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3/382</w:t>
      </w:r>
      <w:r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).</w:t>
      </w:r>
    </w:p>
    <w:p w:rsidR="00E834B7" w:rsidRPr="002D537D" w:rsidRDefault="00E834B7" w:rsidP="00951D2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>В клинических терапевтических исследованиях левоцетиризина</w:t>
      </w:r>
      <w:r w:rsidR="00060711"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дозе</w:t>
      </w: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 мг</w:t>
      </w:r>
      <w:r w:rsidR="00060711" w:rsidRPr="006127DA">
        <w:rPr>
          <w:rFonts w:ascii="Times New Roman" w:hAnsi="Times New Roman" w:cs="Times New Roman"/>
          <w:bCs/>
          <w:sz w:val="24"/>
          <w:szCs w:val="24"/>
          <w:lang w:val="ru-RU"/>
        </w:rPr>
        <w:t>/сутки</w:t>
      </w: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приняло участие в общей сложности </w:t>
      </w:r>
      <w:r w:rsidR="00060711" w:rsidRPr="00DB750D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538</w:t>
      </w: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пациентов. Обобщенные данные по безопасности этого 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препарата приводят следующие частые побочные реа</w:t>
      </w:r>
      <w:r w:rsidR="00E30173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кции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009"/>
        <w:gridCol w:w="3260"/>
        <w:gridCol w:w="3087"/>
      </w:tblGrid>
      <w:tr w:rsidR="00951D25" w:rsidRPr="006127DA" w:rsidTr="00CC2918">
        <w:tc>
          <w:tcPr>
            <w:tcW w:w="3009" w:type="dxa"/>
          </w:tcPr>
          <w:p w:rsidR="00951D25" w:rsidRPr="006127DA" w:rsidRDefault="00951D25" w:rsidP="00CC2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Побочная реакция</w:t>
            </w:r>
          </w:p>
          <w:p w:rsidR="00951D25" w:rsidRPr="006127DA" w:rsidRDefault="00951D25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51D25" w:rsidRPr="006127DA" w:rsidRDefault="00951D25" w:rsidP="00CC2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Плацебо</w:t>
            </w:r>
          </w:p>
          <w:p w:rsidR="00951D25" w:rsidRPr="006127DA" w:rsidRDefault="00951D25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(n = </w:t>
            </w:r>
            <w:r w:rsidR="00E30173" w:rsidRPr="00612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382</w:t>
            </w:r>
            <w:r w:rsidRPr="00612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087" w:type="dxa"/>
          </w:tcPr>
          <w:p w:rsidR="00951D25" w:rsidRPr="006127DA" w:rsidRDefault="00951D25" w:rsidP="00CC2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Левоцетиризин</w:t>
            </w:r>
          </w:p>
          <w:p w:rsidR="00951D25" w:rsidRPr="006127DA" w:rsidRDefault="00951D25" w:rsidP="00E30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(n = </w:t>
            </w:r>
            <w:r w:rsidR="00E30173" w:rsidRPr="00612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538</w:t>
            </w:r>
            <w:r w:rsidRPr="00612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951D25" w:rsidRPr="006127DA" w:rsidTr="00CC2918">
        <w:tc>
          <w:tcPr>
            <w:tcW w:w="3009" w:type="dxa"/>
          </w:tcPr>
          <w:p w:rsidR="00951D25" w:rsidRPr="006127DA" w:rsidRDefault="00951D25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Головная боль</w:t>
            </w:r>
            <w:r w:rsidRPr="006127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</w:tcPr>
          <w:p w:rsidR="00951D25" w:rsidRPr="006127DA" w:rsidRDefault="00E30173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2,9 %</w:t>
            </w:r>
          </w:p>
        </w:tc>
        <w:tc>
          <w:tcPr>
            <w:tcW w:w="3087" w:type="dxa"/>
          </w:tcPr>
          <w:p w:rsidR="00951D25" w:rsidRPr="006127DA" w:rsidRDefault="00E30173" w:rsidP="00E301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2,4 %</w:t>
            </w:r>
          </w:p>
        </w:tc>
      </w:tr>
      <w:tr w:rsidR="00951D25" w:rsidRPr="006127DA" w:rsidTr="00CC2918">
        <w:tc>
          <w:tcPr>
            <w:tcW w:w="3009" w:type="dxa"/>
          </w:tcPr>
          <w:p w:rsidR="00951D25" w:rsidRPr="006127DA" w:rsidRDefault="00951D25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Сонливость</w:t>
            </w: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</w:tcPr>
          <w:p w:rsidR="00951D25" w:rsidRPr="006127DA" w:rsidRDefault="00E30173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1,3 %</w:t>
            </w:r>
          </w:p>
        </w:tc>
        <w:tc>
          <w:tcPr>
            <w:tcW w:w="3087" w:type="dxa"/>
          </w:tcPr>
          <w:p w:rsidR="00951D25" w:rsidRPr="006127DA" w:rsidRDefault="00E30173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5,6 %</w:t>
            </w:r>
          </w:p>
        </w:tc>
      </w:tr>
      <w:tr w:rsidR="00951D25" w:rsidRPr="006127DA" w:rsidTr="00CC2918">
        <w:tc>
          <w:tcPr>
            <w:tcW w:w="3009" w:type="dxa"/>
          </w:tcPr>
          <w:p w:rsidR="00951D25" w:rsidRPr="006127DA" w:rsidRDefault="00951D25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Сухость во рту</w:t>
            </w:r>
          </w:p>
        </w:tc>
        <w:tc>
          <w:tcPr>
            <w:tcW w:w="3260" w:type="dxa"/>
          </w:tcPr>
          <w:p w:rsidR="00951D25" w:rsidRPr="006127DA" w:rsidRDefault="00E30173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1,3 %</w:t>
            </w:r>
          </w:p>
        </w:tc>
        <w:tc>
          <w:tcPr>
            <w:tcW w:w="3087" w:type="dxa"/>
          </w:tcPr>
          <w:p w:rsidR="00951D25" w:rsidRPr="006127DA" w:rsidRDefault="00951D25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2,</w:t>
            </w:r>
            <w:r w:rsidR="00E30173"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6%</w:t>
            </w:r>
          </w:p>
        </w:tc>
      </w:tr>
      <w:tr w:rsidR="00951D25" w:rsidRPr="006127DA" w:rsidTr="00CC2918">
        <w:tc>
          <w:tcPr>
            <w:tcW w:w="3009" w:type="dxa"/>
          </w:tcPr>
          <w:p w:rsidR="00951D25" w:rsidRPr="006127DA" w:rsidRDefault="00951D25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Усталость</w:t>
            </w: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</w:tcPr>
          <w:p w:rsidR="00951D25" w:rsidRPr="006127DA" w:rsidRDefault="00E30173" w:rsidP="00E30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0,5 %</w:t>
            </w:r>
          </w:p>
        </w:tc>
        <w:tc>
          <w:tcPr>
            <w:tcW w:w="3087" w:type="dxa"/>
          </w:tcPr>
          <w:p w:rsidR="00951D25" w:rsidRPr="006127DA" w:rsidRDefault="00E30173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1,5 %</w:t>
            </w:r>
          </w:p>
        </w:tc>
      </w:tr>
      <w:tr w:rsidR="00E30173" w:rsidRPr="006127DA" w:rsidTr="00CC2918">
        <w:tc>
          <w:tcPr>
            <w:tcW w:w="3009" w:type="dxa"/>
          </w:tcPr>
          <w:p w:rsidR="00E30173" w:rsidRPr="006127DA" w:rsidRDefault="00E30173" w:rsidP="00CC2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Астения</w:t>
            </w:r>
          </w:p>
        </w:tc>
        <w:tc>
          <w:tcPr>
            <w:tcW w:w="3260" w:type="dxa"/>
          </w:tcPr>
          <w:p w:rsidR="00E30173" w:rsidRPr="006127DA" w:rsidRDefault="00E30173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1.3%</w:t>
            </w:r>
          </w:p>
        </w:tc>
        <w:tc>
          <w:tcPr>
            <w:tcW w:w="3087" w:type="dxa"/>
          </w:tcPr>
          <w:p w:rsidR="00E30173" w:rsidRPr="006127DA" w:rsidRDefault="00E30173" w:rsidP="00CC2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2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1,1%</w:t>
            </w:r>
          </w:p>
        </w:tc>
      </w:tr>
    </w:tbl>
    <w:p w:rsidR="00897FFC" w:rsidRPr="006127DA" w:rsidRDefault="00897FFC" w:rsidP="00123D9A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>Хотя сонливость чаще наблюдалась в группе пациентов, получавших левоцетиризин, по сравнению с группой плацебо, она носила легкий или умеренный характер.</w:t>
      </w:r>
    </w:p>
    <w:p w:rsidR="00E834B7" w:rsidRPr="006127DA" w:rsidRDefault="00E834B7" w:rsidP="00D34BD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Кроме </w:t>
      </w:r>
      <w:r w:rsidR="00B5310A" w:rsidRPr="006127DA">
        <w:rPr>
          <w:rFonts w:ascii="Times New Roman" w:hAnsi="Times New Roman" w:cs="Times New Roman"/>
          <w:bCs/>
          <w:sz w:val="24"/>
          <w:szCs w:val="24"/>
          <w:lang w:val="ru-RU"/>
        </w:rPr>
        <w:t>приведенных выше побочных реакций</w:t>
      </w:r>
      <w:r w:rsidRPr="006127DA">
        <w:rPr>
          <w:rFonts w:ascii="Times New Roman" w:hAnsi="Times New Roman" w:cs="Times New Roman"/>
          <w:bCs/>
          <w:sz w:val="24"/>
          <w:szCs w:val="24"/>
          <w:lang w:val="ru-RU"/>
        </w:rPr>
        <w:t>, нечасто наблюдали боль в животе.</w:t>
      </w:r>
    </w:p>
    <w:p w:rsidR="00E834B7" w:rsidRPr="006127DA" w:rsidRDefault="00E834B7" w:rsidP="00FD626A">
      <w:pPr>
        <w:pStyle w:val="a3"/>
        <w:spacing w:before="120"/>
        <w:rPr>
          <w:sz w:val="24"/>
          <w:szCs w:val="24"/>
          <w:u w:val="single"/>
          <w:lang w:val="ru-RU"/>
        </w:rPr>
      </w:pPr>
      <w:r w:rsidRPr="006127DA">
        <w:rPr>
          <w:sz w:val="24"/>
          <w:szCs w:val="24"/>
          <w:u w:val="single"/>
          <w:lang w:val="ru-RU"/>
        </w:rPr>
        <w:t>Опыт применения в постмаркетинговом периоде</w:t>
      </w:r>
    </w:p>
    <w:p w:rsidR="00E834B7" w:rsidRPr="006127DA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>Нарушения со стороны иммунной системы</w:t>
      </w:r>
    </w:p>
    <w:p w:rsidR="00E834B7" w:rsidRPr="006127DA" w:rsidRDefault="00E834B7" w:rsidP="00E834B7">
      <w:pPr>
        <w:pStyle w:val="a3"/>
        <w:rPr>
          <w:bCs/>
          <w:i/>
          <w:i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>повышенн</w:t>
      </w:r>
      <w:r w:rsidR="00B834E4" w:rsidRPr="006127DA">
        <w:rPr>
          <w:bCs/>
          <w:sz w:val="24"/>
          <w:szCs w:val="24"/>
          <w:lang w:val="ru-RU"/>
        </w:rPr>
        <w:t xml:space="preserve">ая чувствительность, анафилактические реакции, ангионевротический отек (отек </w:t>
      </w:r>
      <w:proofErr w:type="spellStart"/>
      <w:r w:rsidR="00B834E4" w:rsidRPr="006127DA">
        <w:rPr>
          <w:bCs/>
          <w:sz w:val="24"/>
          <w:szCs w:val="24"/>
          <w:lang w:val="ru-RU"/>
        </w:rPr>
        <w:t>Квинке</w:t>
      </w:r>
      <w:proofErr w:type="spellEnd"/>
      <w:r w:rsidR="00B834E4" w:rsidRPr="006127DA">
        <w:rPr>
          <w:bCs/>
          <w:sz w:val="24"/>
          <w:szCs w:val="24"/>
          <w:lang w:val="ru-RU"/>
        </w:rPr>
        <w:t>)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>Нарушения со стороны обмена веществ и питания</w:t>
      </w:r>
    </w:p>
    <w:p w:rsidR="00E834B7" w:rsidRPr="006127DA" w:rsidRDefault="00E834B7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>повышение аппетита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>Нарушения психики</w:t>
      </w:r>
    </w:p>
    <w:p w:rsidR="00E834B7" w:rsidRPr="006127DA" w:rsidRDefault="00B834E4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>тревожное состояние,</w:t>
      </w:r>
      <w:r w:rsidR="00E834B7" w:rsidRPr="006127DA">
        <w:rPr>
          <w:bCs/>
          <w:sz w:val="24"/>
          <w:szCs w:val="24"/>
          <w:lang w:val="ru-RU"/>
        </w:rPr>
        <w:t xml:space="preserve"> агрессивность, ажитация, </w:t>
      </w:r>
      <w:r w:rsidR="00157C6E" w:rsidRPr="006127DA">
        <w:rPr>
          <w:bCs/>
          <w:sz w:val="24"/>
          <w:szCs w:val="24"/>
          <w:lang w:val="ru-RU"/>
        </w:rPr>
        <w:t>галлюцинации, депрессия,</w:t>
      </w:r>
      <w:r w:rsidR="00157C6E" w:rsidRPr="006127DA">
        <w:rPr>
          <w:sz w:val="24"/>
          <w:szCs w:val="24"/>
          <w:lang w:val="ru-RU"/>
        </w:rPr>
        <w:t xml:space="preserve"> </w:t>
      </w:r>
      <w:r w:rsidR="00E834B7" w:rsidRPr="006127DA">
        <w:rPr>
          <w:bCs/>
          <w:sz w:val="24"/>
          <w:szCs w:val="24"/>
          <w:lang w:val="ru-RU"/>
        </w:rPr>
        <w:t>бессонница, суицидальные мысли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>Нарушения со стороны нервной системы</w:t>
      </w:r>
    </w:p>
    <w:p w:rsidR="00E834B7" w:rsidRPr="006127DA" w:rsidRDefault="00E834B7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>конвульсии,</w:t>
      </w:r>
      <w:r w:rsidR="00B834E4" w:rsidRPr="006127DA">
        <w:rPr>
          <w:bCs/>
          <w:sz w:val="24"/>
          <w:szCs w:val="24"/>
          <w:lang w:val="ru-RU"/>
        </w:rPr>
        <w:t xml:space="preserve"> тромбоз синусов,</w:t>
      </w:r>
      <w:r w:rsidRPr="006127DA">
        <w:rPr>
          <w:bCs/>
          <w:sz w:val="24"/>
          <w:szCs w:val="24"/>
          <w:lang w:val="ru-RU"/>
        </w:rPr>
        <w:t xml:space="preserve"> парестезия, </w:t>
      </w:r>
      <w:r w:rsidR="00B834E4" w:rsidRPr="006127DA">
        <w:rPr>
          <w:bCs/>
          <w:sz w:val="24"/>
          <w:szCs w:val="24"/>
          <w:lang w:val="ru-RU"/>
        </w:rPr>
        <w:t xml:space="preserve">вертиго, </w:t>
      </w:r>
      <w:r w:rsidRPr="006127DA">
        <w:rPr>
          <w:bCs/>
          <w:sz w:val="24"/>
          <w:szCs w:val="24"/>
          <w:lang w:val="ru-RU"/>
        </w:rPr>
        <w:t>головокружение, обморок, тремор, нарушение вкусового восприятия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>Нарушения</w:t>
      </w:r>
      <w:r w:rsidRPr="006127DA">
        <w:rPr>
          <w:bCs/>
          <w:i/>
          <w:sz w:val="24"/>
          <w:szCs w:val="24"/>
          <w:lang w:val="ru-RU"/>
        </w:rPr>
        <w:t xml:space="preserve"> со стороны органа зрения</w:t>
      </w:r>
    </w:p>
    <w:p w:rsidR="00E834B7" w:rsidRPr="006127DA" w:rsidRDefault="00B834E4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 xml:space="preserve">воспаление, </w:t>
      </w:r>
      <w:r w:rsidR="00E834B7" w:rsidRPr="006127DA">
        <w:rPr>
          <w:bCs/>
          <w:sz w:val="24"/>
          <w:szCs w:val="24"/>
          <w:lang w:val="ru-RU"/>
        </w:rPr>
        <w:t>нарушения зрения, нечеткость зрения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>Нарушения</w:t>
      </w:r>
      <w:r w:rsidRPr="006127DA">
        <w:rPr>
          <w:bCs/>
          <w:i/>
          <w:sz w:val="24"/>
          <w:szCs w:val="24"/>
          <w:lang w:val="ru-RU"/>
        </w:rPr>
        <w:t xml:space="preserve"> со стороны сердца</w:t>
      </w:r>
      <w:r w:rsidRPr="006127DA">
        <w:rPr>
          <w:bCs/>
          <w:sz w:val="24"/>
          <w:szCs w:val="24"/>
          <w:lang w:val="ru-RU"/>
        </w:rPr>
        <w:t>:</w:t>
      </w:r>
    </w:p>
    <w:p w:rsidR="00E834B7" w:rsidRPr="006127DA" w:rsidRDefault="000631CA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 xml:space="preserve">стенокардия, </w:t>
      </w:r>
      <w:r w:rsidR="00E834B7" w:rsidRPr="006127DA">
        <w:rPr>
          <w:bCs/>
          <w:sz w:val="24"/>
          <w:szCs w:val="24"/>
          <w:lang w:val="ru-RU"/>
        </w:rPr>
        <w:t>сильное сердцебиение</w:t>
      </w:r>
      <w:r w:rsidR="00157C6E" w:rsidRPr="006127DA">
        <w:rPr>
          <w:bCs/>
          <w:sz w:val="24"/>
          <w:szCs w:val="24"/>
          <w:lang w:val="ru-RU"/>
        </w:rPr>
        <w:t>, тахикардия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337B68" w:rsidRPr="006127DA" w:rsidRDefault="00337B68" w:rsidP="00337B68">
      <w:pPr>
        <w:pStyle w:val="a3"/>
        <w:spacing w:before="120"/>
        <w:rPr>
          <w:b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lastRenderedPageBreak/>
        <w:t>Нарушения</w:t>
      </w:r>
      <w:r w:rsidRPr="006127DA">
        <w:rPr>
          <w:bCs/>
          <w:i/>
          <w:sz w:val="24"/>
          <w:szCs w:val="24"/>
          <w:lang w:val="ru-RU"/>
        </w:rPr>
        <w:t xml:space="preserve"> со стороны сосудов</w:t>
      </w:r>
      <w:r w:rsidRPr="006127DA">
        <w:rPr>
          <w:bCs/>
          <w:sz w:val="24"/>
          <w:szCs w:val="24"/>
          <w:lang w:val="ru-RU"/>
        </w:rPr>
        <w:t>:</w:t>
      </w:r>
    </w:p>
    <w:p w:rsidR="000631CA" w:rsidRPr="006127DA" w:rsidRDefault="000631CA" w:rsidP="000631CA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>тромбоз яремной вены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 xml:space="preserve">Нарушения со стороны дыхательной системы, органов грудной клетки и средостения </w:t>
      </w:r>
    </w:p>
    <w:p w:rsidR="00E834B7" w:rsidRPr="006127DA" w:rsidRDefault="002806AF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 xml:space="preserve">усиление ринита, респираторный </w:t>
      </w:r>
      <w:proofErr w:type="spellStart"/>
      <w:r w:rsidRPr="006127DA">
        <w:rPr>
          <w:bCs/>
          <w:sz w:val="24"/>
          <w:szCs w:val="24"/>
          <w:lang w:val="ru-RU"/>
        </w:rPr>
        <w:t>дистресс</w:t>
      </w:r>
      <w:proofErr w:type="spellEnd"/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 xml:space="preserve">Нарушения со стороны желудочно-кишечного тракта </w:t>
      </w:r>
    </w:p>
    <w:p w:rsidR="00E834B7" w:rsidRPr="006127DA" w:rsidRDefault="00271EE1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 xml:space="preserve">желудочно-кишечные расстройства, </w:t>
      </w:r>
      <w:r w:rsidR="00E834B7" w:rsidRPr="006127DA">
        <w:rPr>
          <w:bCs/>
          <w:sz w:val="24"/>
          <w:szCs w:val="24"/>
          <w:lang w:val="ru-RU"/>
        </w:rPr>
        <w:t>тошнота</w:t>
      </w:r>
      <w:r w:rsidR="00157C6E" w:rsidRPr="006127DA">
        <w:rPr>
          <w:bCs/>
          <w:sz w:val="24"/>
          <w:szCs w:val="24"/>
          <w:lang w:val="ru-RU"/>
        </w:rPr>
        <w:t>, рвота</w:t>
      </w:r>
      <w:r w:rsidRPr="006127DA">
        <w:rPr>
          <w:bCs/>
          <w:sz w:val="24"/>
          <w:szCs w:val="24"/>
          <w:lang w:val="ru-RU"/>
        </w:rPr>
        <w:t>, нарушение</w:t>
      </w:r>
      <w:r w:rsidR="00C64699">
        <w:rPr>
          <w:bCs/>
          <w:sz w:val="24"/>
          <w:szCs w:val="24"/>
          <w:lang w:val="ru-RU"/>
        </w:rPr>
        <w:t xml:space="preserve"> функциональных печеночных проб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>Нарушения со стороны печени и желчевыводящих путей:</w:t>
      </w:r>
    </w:p>
    <w:p w:rsidR="00E834B7" w:rsidRPr="006127DA" w:rsidRDefault="00E834B7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>гепатит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 xml:space="preserve">Нарушения со стороны кожи и подкожных тканей </w:t>
      </w:r>
    </w:p>
    <w:p w:rsidR="00E834B7" w:rsidRPr="006127DA" w:rsidRDefault="00E834B7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>ангионевротический отек, фиксированная токсидермия, зуд, кожная сыпь, крапивница</w:t>
      </w:r>
      <w:r w:rsidR="00271EE1" w:rsidRPr="006127DA">
        <w:rPr>
          <w:bCs/>
          <w:sz w:val="24"/>
          <w:szCs w:val="24"/>
          <w:lang w:val="ru-RU"/>
        </w:rPr>
        <w:t xml:space="preserve">, </w:t>
      </w:r>
      <w:proofErr w:type="spellStart"/>
      <w:r w:rsidR="00271EE1" w:rsidRPr="006127DA">
        <w:rPr>
          <w:bCs/>
          <w:sz w:val="24"/>
          <w:szCs w:val="24"/>
          <w:lang w:val="ru-RU"/>
        </w:rPr>
        <w:t>гипотрихоз</w:t>
      </w:r>
      <w:proofErr w:type="spellEnd"/>
      <w:r w:rsidR="00271EE1" w:rsidRPr="006127DA">
        <w:rPr>
          <w:bCs/>
          <w:sz w:val="24"/>
          <w:szCs w:val="24"/>
          <w:lang w:val="ru-RU"/>
        </w:rPr>
        <w:t>, трещ</w:t>
      </w:r>
      <w:r w:rsidR="00D34BD5" w:rsidRPr="006127DA">
        <w:rPr>
          <w:bCs/>
          <w:sz w:val="24"/>
          <w:szCs w:val="24"/>
          <w:lang w:val="ru-RU"/>
        </w:rPr>
        <w:t>и</w:t>
      </w:r>
      <w:r w:rsidR="00271EE1" w:rsidRPr="006127DA">
        <w:rPr>
          <w:bCs/>
          <w:sz w:val="24"/>
          <w:szCs w:val="24"/>
          <w:lang w:val="ru-RU"/>
        </w:rPr>
        <w:t xml:space="preserve">ны, </w:t>
      </w:r>
      <w:proofErr w:type="spellStart"/>
      <w:r w:rsidR="00271EE1" w:rsidRPr="006127DA">
        <w:rPr>
          <w:bCs/>
          <w:sz w:val="24"/>
          <w:szCs w:val="24"/>
          <w:lang w:val="ru-RU"/>
        </w:rPr>
        <w:t>фотосенсибилизация</w:t>
      </w:r>
      <w:proofErr w:type="spellEnd"/>
      <w:r w:rsidR="00271EE1" w:rsidRPr="006127DA">
        <w:rPr>
          <w:bCs/>
          <w:sz w:val="24"/>
          <w:szCs w:val="24"/>
          <w:lang w:val="ru-RU"/>
        </w:rPr>
        <w:t>/токсичность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2D537D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2D537D">
        <w:rPr>
          <w:bCs/>
          <w:i/>
          <w:iCs/>
          <w:sz w:val="24"/>
          <w:szCs w:val="24"/>
          <w:lang w:val="ru-RU"/>
        </w:rPr>
        <w:t>Нарушения</w:t>
      </w:r>
      <w:r w:rsidRPr="002D537D">
        <w:rPr>
          <w:bCs/>
          <w:i/>
          <w:sz w:val="24"/>
          <w:szCs w:val="24"/>
          <w:lang w:val="ru-RU"/>
        </w:rPr>
        <w:t xml:space="preserve"> со стороны скелетно-мышечной и соединительной ткани</w:t>
      </w:r>
      <w:r w:rsidRPr="002D537D">
        <w:rPr>
          <w:bCs/>
          <w:sz w:val="24"/>
          <w:szCs w:val="24"/>
          <w:lang w:val="ru-RU"/>
        </w:rPr>
        <w:t>:</w:t>
      </w:r>
    </w:p>
    <w:p w:rsidR="00E834B7" w:rsidRPr="002D537D" w:rsidRDefault="00E834B7" w:rsidP="00E834B7">
      <w:pPr>
        <w:pStyle w:val="a3"/>
        <w:rPr>
          <w:bCs/>
          <w:sz w:val="24"/>
          <w:szCs w:val="24"/>
          <w:lang w:val="ru-RU"/>
        </w:rPr>
      </w:pPr>
      <w:r w:rsidRPr="002D537D">
        <w:rPr>
          <w:bCs/>
          <w:sz w:val="24"/>
          <w:szCs w:val="24"/>
          <w:lang w:val="ru-RU"/>
        </w:rPr>
        <w:t>миалгия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6127DA">
        <w:rPr>
          <w:bCs/>
          <w:i/>
          <w:sz w:val="24"/>
          <w:szCs w:val="24"/>
          <w:lang w:val="ru-RU"/>
        </w:rPr>
        <w:t>Нарушения со стороны почек и мочевыводящих путей:</w:t>
      </w:r>
    </w:p>
    <w:p w:rsidR="00E834B7" w:rsidRPr="006127DA" w:rsidRDefault="00271EE1" w:rsidP="00E834B7">
      <w:pPr>
        <w:pStyle w:val="a3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>недержание мочи</w:t>
      </w:r>
      <w:r w:rsidR="00E834B7" w:rsidRPr="006127DA">
        <w:rPr>
          <w:bCs/>
          <w:sz w:val="24"/>
          <w:szCs w:val="24"/>
          <w:lang w:val="ru-RU"/>
        </w:rPr>
        <w:t>, задержка мочи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E834B7" w:rsidRPr="006127DA" w:rsidRDefault="00E834B7" w:rsidP="00E834B7">
      <w:pPr>
        <w:pStyle w:val="a3"/>
        <w:spacing w:before="120"/>
        <w:rPr>
          <w:bCs/>
          <w:sz w:val="24"/>
          <w:szCs w:val="24"/>
          <w:lang w:val="ru-RU"/>
        </w:rPr>
      </w:pPr>
      <w:r w:rsidRPr="006127DA">
        <w:rPr>
          <w:bCs/>
          <w:i/>
          <w:sz w:val="24"/>
          <w:szCs w:val="24"/>
          <w:lang w:val="ru-RU"/>
        </w:rPr>
        <w:t>Общие расстройства и нарушения в месте введения:</w:t>
      </w:r>
    </w:p>
    <w:p w:rsidR="00E834B7" w:rsidRPr="006127DA" w:rsidRDefault="00E834B7" w:rsidP="00271EE1">
      <w:pPr>
        <w:pStyle w:val="a3"/>
        <w:spacing w:after="120"/>
        <w:rPr>
          <w:bCs/>
          <w:sz w:val="24"/>
          <w:szCs w:val="24"/>
          <w:lang w:val="ru-RU"/>
        </w:rPr>
      </w:pPr>
      <w:r w:rsidRPr="006127DA">
        <w:rPr>
          <w:bCs/>
          <w:sz w:val="24"/>
          <w:szCs w:val="24"/>
          <w:lang w:val="ru-RU"/>
        </w:rPr>
        <w:t>отек</w:t>
      </w:r>
      <w:r w:rsidR="00271EE1" w:rsidRPr="006127DA">
        <w:rPr>
          <w:bCs/>
          <w:sz w:val="24"/>
          <w:szCs w:val="24"/>
          <w:lang w:val="ru-RU"/>
        </w:rPr>
        <w:t>и, неэффективность лекарственного средства, сухость слизистых о</w:t>
      </w:r>
      <w:r w:rsidR="00C64699">
        <w:rPr>
          <w:bCs/>
          <w:sz w:val="24"/>
          <w:szCs w:val="24"/>
          <w:lang w:val="ru-RU"/>
        </w:rPr>
        <w:t>болочек, увеличение массы тела</w:t>
      </w:r>
      <w:r w:rsidR="00C64699" w:rsidRPr="00C64699">
        <w:rPr>
          <w:bCs/>
          <w:color w:val="FF0000"/>
          <w:sz w:val="24"/>
          <w:szCs w:val="24"/>
          <w:lang w:val="ru-RU"/>
        </w:rPr>
        <w:t>;</w:t>
      </w:r>
    </w:p>
    <w:p w:rsidR="00271EE1" w:rsidRPr="006127DA" w:rsidRDefault="00E834B7" w:rsidP="00E834B7">
      <w:pPr>
        <w:pStyle w:val="a3"/>
        <w:spacing w:before="120"/>
        <w:rPr>
          <w:bCs/>
          <w:i/>
          <w:iCs/>
          <w:sz w:val="24"/>
          <w:szCs w:val="24"/>
          <w:lang w:val="ru-RU"/>
        </w:rPr>
      </w:pPr>
      <w:r w:rsidRPr="006127DA">
        <w:rPr>
          <w:bCs/>
          <w:i/>
          <w:iCs/>
          <w:sz w:val="24"/>
          <w:szCs w:val="24"/>
          <w:lang w:val="ru-RU"/>
        </w:rPr>
        <w:t>Влияние на результаты лабораторных и инструментальных исследований</w:t>
      </w:r>
      <w:r w:rsidR="00271EE1" w:rsidRPr="006127DA">
        <w:rPr>
          <w:bCs/>
          <w:i/>
          <w:iCs/>
          <w:sz w:val="24"/>
          <w:szCs w:val="24"/>
          <w:lang w:val="ru-RU"/>
        </w:rPr>
        <w:t>:</w:t>
      </w:r>
    </w:p>
    <w:p w:rsidR="00E834B7" w:rsidRPr="006127DA" w:rsidRDefault="00271EE1" w:rsidP="00BD59C2">
      <w:pPr>
        <w:pStyle w:val="a3"/>
        <w:rPr>
          <w:bCs/>
          <w:iCs/>
          <w:sz w:val="24"/>
          <w:szCs w:val="24"/>
          <w:lang w:val="ru-RU"/>
        </w:rPr>
      </w:pPr>
      <w:r w:rsidRPr="006127DA">
        <w:rPr>
          <w:bCs/>
          <w:iCs/>
          <w:sz w:val="24"/>
          <w:szCs w:val="24"/>
          <w:lang w:val="ru-RU"/>
        </w:rPr>
        <w:t>перекрестная реактивность</w:t>
      </w:r>
      <w:r w:rsidR="00C64699">
        <w:rPr>
          <w:bCs/>
          <w:iCs/>
          <w:sz w:val="24"/>
          <w:szCs w:val="24"/>
          <w:lang w:val="ru-RU"/>
        </w:rPr>
        <w:t>.</w:t>
      </w:r>
    </w:p>
    <w:p w:rsidR="00BD59C2" w:rsidRPr="002D537D" w:rsidRDefault="00BD59C2" w:rsidP="00BD59C2">
      <w:pPr>
        <w:pStyle w:val="a3"/>
        <w:rPr>
          <w:bCs/>
          <w:iCs/>
          <w:color w:val="548DD4" w:themeColor="text2" w:themeTint="99"/>
          <w:sz w:val="24"/>
          <w:szCs w:val="24"/>
          <w:lang w:val="ru-RU"/>
        </w:rPr>
      </w:pPr>
    </w:p>
    <w:p w:rsidR="00B5310A" w:rsidRPr="006127DA" w:rsidRDefault="00B5310A" w:rsidP="00BD59C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27DA">
        <w:rPr>
          <w:rFonts w:ascii="Times New Roman" w:hAnsi="Times New Roman" w:cs="Times New Roman"/>
          <w:sz w:val="24"/>
          <w:szCs w:val="24"/>
          <w:lang w:val="ru-RU"/>
        </w:rPr>
        <w:t>Некоторые вспомогательные вещества, входящие в состав капель Парлазин Нео  могут вызывать аллергические реакции (возможно, замедленного типа).</w:t>
      </w:r>
    </w:p>
    <w:p w:rsidR="00BD59C2" w:rsidRPr="00C64699" w:rsidRDefault="00BD59C2" w:rsidP="00BD59C2">
      <w:pPr>
        <w:spacing w:after="120"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  <w:lang w:val="ru-RU"/>
        </w:rPr>
      </w:pPr>
      <w:r w:rsidRPr="00C64699">
        <w:rPr>
          <w:rFonts w:ascii="Times New Roman" w:hAnsi="Times New Roman" w:cs="Times New Roman"/>
          <w:color w:val="7030A0"/>
          <w:sz w:val="24"/>
          <w:szCs w:val="24"/>
          <w:u w:val="single"/>
          <w:lang w:val="ru-RU"/>
        </w:rPr>
        <w:t>Данные по безопасности на основании  постмаркетинговых данных рацемата цетиризина</w:t>
      </w:r>
    </w:p>
    <w:p w:rsidR="00D266C7" w:rsidRPr="00C64699" w:rsidRDefault="00BD59C2" w:rsidP="00D266C7">
      <w:pPr>
        <w:spacing w:before="120" w:after="120" w:line="24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Поступали сообщения о следующих побочных эффектах</w:t>
      </w:r>
      <w:r w:rsidR="00D266C7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:</w:t>
      </w:r>
    </w:p>
    <w:p w:rsidR="000C1781" w:rsidRPr="00C64699" w:rsidRDefault="00BD59C2" w:rsidP="000C1781">
      <w:pPr>
        <w:spacing w:before="120" w:after="12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64699">
        <w:rPr>
          <w:rFonts w:ascii="Times New Roman" w:hAnsi="Times New Roman" w:cs="Times New Roman"/>
          <w:i/>
          <w:color w:val="7030A0"/>
          <w:sz w:val="24"/>
          <w:szCs w:val="24"/>
          <w:lang w:val="ru-RU"/>
        </w:rPr>
        <w:t>Редкие (</w:t>
      </w:r>
      <w:r w:rsidR="00D266C7" w:rsidRPr="00C64699">
        <w:rPr>
          <w:rFonts w:ascii="Times New Roman" w:hAnsi="Times New Roman" w:cs="Times New Roman"/>
          <w:bCs/>
          <w:i/>
          <w:color w:val="7030A0"/>
          <w:sz w:val="24"/>
          <w:szCs w:val="24"/>
          <w:lang w:val="ru-RU"/>
        </w:rPr>
        <w:t xml:space="preserve">&lt;1/1000 и </w:t>
      </w:r>
      <w:r w:rsidR="00D34BD5" w:rsidRPr="00C64699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≥</w:t>
      </w:r>
      <w:r w:rsidR="00D266C7" w:rsidRPr="00C64699">
        <w:rPr>
          <w:rFonts w:ascii="Times New Roman" w:hAnsi="Times New Roman" w:cs="Times New Roman"/>
          <w:bCs/>
          <w:i/>
          <w:color w:val="7030A0"/>
          <w:sz w:val="24"/>
          <w:szCs w:val="24"/>
          <w:lang w:val="ru-RU"/>
        </w:rPr>
        <w:t>1/10000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)</w:t>
      </w:r>
      <w:r w:rsidR="00D266C7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:</w:t>
      </w:r>
    </w:p>
    <w:p w:rsidR="000C1781" w:rsidRPr="00C64699" w:rsidRDefault="00D34BD5" w:rsidP="000C1781">
      <w:pPr>
        <w:spacing w:before="120" w:after="12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Мягко выраженные</w:t>
      </w:r>
      <w:r w:rsidR="00BD59C2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и </w:t>
      </w:r>
      <w:r w:rsidR="00D266C7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преходящие</w:t>
      </w:r>
      <w:r w:rsidR="00BD59C2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побочные эффекты, такие как усталость, трудности с концентрацией внимания, сонливость, головная боль, головокружение</w:t>
      </w:r>
      <w:r w:rsidR="00D266C7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(вертиго)</w:t>
      </w:r>
      <w:r w:rsidR="00BD59C2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, возбуждение, сухость во рту и желудочно-кишечны</w:t>
      </w:r>
      <w:r w:rsidR="00D266C7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е</w:t>
      </w:r>
      <w:r w:rsidR="00BD59C2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расстройств</w:t>
      </w:r>
      <w:r w:rsidR="00D266C7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а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(например, запоры).</w:t>
      </w:r>
    </w:p>
    <w:p w:rsidR="00BD59C2" w:rsidRPr="00C64699" w:rsidRDefault="00BD59C2" w:rsidP="00C82AD7">
      <w:pPr>
        <w:spacing w:before="120" w:after="12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В некоторых случаях </w:t>
      </w:r>
      <w:r w:rsidR="00E83690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наблюдались реакции гиперчувствительности, сопровождающиеся 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кожны</w:t>
      </w:r>
      <w:r w:rsidR="00E83690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ми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реакци</w:t>
      </w:r>
      <w:r w:rsidR="00E83690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ями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и </w:t>
      </w:r>
      <w:r w:rsidR="00E83690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ангионевротическим отеком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.</w:t>
      </w:r>
      <w:r w:rsidR="005562D2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В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единичны</w:t>
      </w:r>
      <w:r w:rsidR="005562D2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х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случа</w:t>
      </w:r>
      <w:r w:rsidR="005562D2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ях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поступали сообщения о развитии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судорог, 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реакции светочувствительности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, повреждени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й печени, анафилактическом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шок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е, недостаточности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кровообращения, глухот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е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, недомогани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и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, зуд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е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, васкулит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е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, и </w:t>
      </w:r>
      <w:r w:rsidR="000C1781"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нарушениях зрения</w:t>
      </w:r>
      <w:r w:rsidRPr="00C64699">
        <w:rPr>
          <w:rFonts w:ascii="Times New Roman" w:hAnsi="Times New Roman" w:cs="Times New Roman"/>
          <w:color w:val="7030A0"/>
          <w:sz w:val="24"/>
          <w:szCs w:val="24"/>
          <w:lang w:val="ru-RU"/>
        </w:rPr>
        <w:t>.</w:t>
      </w:r>
    </w:p>
    <w:p w:rsidR="00503E40" w:rsidRDefault="00503E40" w:rsidP="005F7A05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B4CC9" w:rsidRPr="002D537D" w:rsidRDefault="009B4CC9" w:rsidP="005F7A05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>Сообщение о нежелательных реакциях, подозреваемых в связи с лечением</w:t>
      </w:r>
    </w:p>
    <w:p w:rsidR="00C37B58" w:rsidRPr="002D537D" w:rsidRDefault="009B4CC9" w:rsidP="00C8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Сообщение о подозреваемых в связи с лечением нежелательных реакциях, возникших после регистрации лекарственного препарата, очень важны. Эти меры позволяют осуществлять мониторинг соотношения пользы и рисков лекарственного препарата. Медицинские работники должны сообщать обо всех подозреваемых в связи с лечением нежелательных реакциях через национальную систему фармаконадзора.</w:t>
      </w:r>
    </w:p>
    <w:p w:rsidR="00C82AD7" w:rsidRPr="002D537D" w:rsidRDefault="00C82AD7" w:rsidP="00C8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068F" w:rsidRPr="002D537D" w:rsidRDefault="0030068F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4.9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Передозировка</w:t>
      </w:r>
    </w:p>
    <w:p w:rsidR="0030068F" w:rsidRPr="002D537D" w:rsidRDefault="0030068F" w:rsidP="00FA51C2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2D537D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lastRenderedPageBreak/>
        <w:t>Симптомы</w:t>
      </w:r>
      <w:r w:rsidR="0063608F" w:rsidRPr="002D537D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 xml:space="preserve"> передозировки</w:t>
      </w:r>
    </w:p>
    <w:p w:rsidR="0030068F" w:rsidRPr="002D537D" w:rsidRDefault="0030068F" w:rsidP="00FD626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Значительная передозировка у взрослых </w:t>
      </w:r>
      <w:r w:rsidR="00265E2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может </w:t>
      </w:r>
      <w:r w:rsidR="001746F9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привести к сонливости.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2D537D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Лечение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Специфический антидот левоцетиризина отсутствует.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передозировки рекомендовано симптоматическое и поддерживающее лечение. 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Через короткий промежуток времени посл</w:t>
      </w:r>
      <w:r w:rsidR="001746F9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приема препарата внутрь может быть полезным 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промывание желудка</w:t>
      </w:r>
      <w:r w:rsidR="001746F9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746F9" w:rsidRPr="00503E40">
        <w:rPr>
          <w:rFonts w:ascii="Times New Roman" w:hAnsi="Times New Roman" w:cs="Times New Roman"/>
          <w:sz w:val="24"/>
          <w:szCs w:val="24"/>
          <w:lang w:val="ru-RU"/>
        </w:rPr>
        <w:t>и / или активированный уголь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Левоцетиризин не может быть 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эффективно удален гемодиализом.</w:t>
      </w:r>
    </w:p>
    <w:p w:rsidR="009B4CC9" w:rsidRPr="002D537D" w:rsidRDefault="009B4CC9" w:rsidP="009B4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608F" w:rsidRPr="002D537D" w:rsidRDefault="0030068F" w:rsidP="00503E4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ФАРМАКОЛОГИЧЕСКИЕ СВОЙСТВА</w:t>
      </w:r>
    </w:p>
    <w:p w:rsidR="00247D30" w:rsidRPr="002D537D" w:rsidRDefault="0030068F" w:rsidP="00503E4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5.1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D537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Фармакодинамические свойства </w:t>
      </w:r>
    </w:p>
    <w:p w:rsidR="0063608F" w:rsidRPr="002D537D" w:rsidRDefault="0030068F" w:rsidP="00CF784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Фармакотерапевтическая группа: 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Антигистаминные препараты системного применения, производные пиперазина.</w:t>
      </w:r>
      <w:r w:rsidR="005F7A05" w:rsidRPr="002D537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Код АТХ: R06A E09 </w:t>
      </w:r>
    </w:p>
    <w:p w:rsidR="001746F9" w:rsidRPr="00503E40" w:rsidRDefault="001746F9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503E4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Механизм действия</w:t>
      </w:r>
    </w:p>
    <w:p w:rsidR="0030068F" w:rsidRPr="00503E40" w:rsidRDefault="001746F9" w:rsidP="00503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Левоцетиризин является антигистаминным препаратом с антиаллергическими свойствами. </w:t>
      </w:r>
      <w:r w:rsidR="0030068F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Левоцетиризин, (</w:t>
      </w:r>
      <w:r w:rsidR="00E834B7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R</w:t>
      </w:r>
      <w:r w:rsidR="0030068F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) энантиомер цетиризина, является сильным избирательным антагонист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ом периферических H1-рецепторов с минимальным сродством к другим рецепторам, то есть препарат практически не обладает антихолинергическим или антисеротонинергическим эффектом.</w:t>
      </w:r>
    </w:p>
    <w:p w:rsidR="001746F9" w:rsidRPr="002D537D" w:rsidRDefault="001746F9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Фармакодинамические свойства</w:t>
      </w:r>
    </w:p>
    <w:p w:rsidR="00686A70" w:rsidRPr="002D537D" w:rsidRDefault="0030068F" w:rsidP="00686A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Исследования связывания показали, что левоцетиризин имеет высокое сродство к Н1-рецепторам человека (Ki = 3,2 нмоль/л). Аффинность левоцетиризина в 2 раза выше, чем у цетиризина (Ki = 6,3 нмоль/л). Левоцетиризин освобождает Н1-рецепторы с периодом полувыведения 115 ± 38 минут.</w:t>
      </w:r>
      <w:r w:rsidR="0063608F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Время полудиссоциации</w:t>
      </w:r>
      <w:r w:rsidR="004E3AD0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Н1 рецепторов составляет 115 ± 38 минут. Через 4 и 24 часа после однократного применения левоцетиризина насыщение рецепторов соответственно составляет 90% и 57%.</w:t>
      </w:r>
    </w:p>
    <w:p w:rsidR="0025379A" w:rsidRPr="00503E40" w:rsidRDefault="0025379A" w:rsidP="00657B8A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Фармакодинамическая активность левоцетиризина изучалась в ряде рандомизированных исследова</w:t>
      </w:r>
      <w:r w:rsidR="00686A70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ний с контролем плацебо:</w:t>
      </w:r>
    </w:p>
    <w:p w:rsidR="002F555E" w:rsidRPr="00503E40" w:rsidRDefault="002F555E" w:rsidP="002F555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- При сравнен</w:t>
      </w:r>
      <w:r w:rsidR="00AD3C52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ии эффекта 5 мг левоцетиризина 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и плацебо на вызванные гистамином «отек и покраснение кожи» ("</w:t>
      </w:r>
      <w:r w:rsidRPr="00503E40">
        <w:rPr>
          <w:rFonts w:ascii="Times New Roman" w:hAnsi="Times New Roman" w:cs="Times New Roman"/>
          <w:bCs/>
          <w:i/>
          <w:sz w:val="24"/>
          <w:szCs w:val="24"/>
          <w:lang w:val="ru-RU"/>
        </w:rPr>
        <w:t>wheal and flare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") было установлено, что левоцетиризин значительно тормозил развитие этой кожной реакции. При применении л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евоцетиризина и плацебо AUC (0-24 ч) в пораженных участках кожи составляла 281,9 и 1255,8 мм</w:t>
      </w:r>
      <w:r w:rsidRPr="00503E4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AD3C52" w:rsidRPr="00503E40">
        <w:rPr>
          <w:rFonts w:ascii="Times New Roman" w:hAnsi="Times New Roman" w:cs="Times New Roman"/>
          <w:sz w:val="24"/>
          <w:szCs w:val="24"/>
          <w:lang w:val="ru-RU"/>
        </w:rPr>
        <w:t>/час (р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&lt;0,001).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F555E" w:rsidRPr="00503E40" w:rsidRDefault="00686A70" w:rsidP="002F555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- В 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сравнительном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исследовании эффект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левоцетиризин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5 мг и плацебо на 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>температуру кожи носа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, измер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>явшейся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т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>ермографии лица после назально</w:t>
      </w:r>
      <w:r w:rsidR="00AD3C52" w:rsidRPr="00503E4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C52" w:rsidRPr="00503E40">
        <w:rPr>
          <w:rFonts w:ascii="Times New Roman" w:hAnsi="Times New Roman" w:cs="Times New Roman"/>
          <w:sz w:val="24"/>
          <w:szCs w:val="24"/>
          <w:lang w:val="ru-RU"/>
        </w:rPr>
        <w:t>тестирования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гистамин</w:t>
      </w:r>
      <w:r w:rsidR="00AD3C52" w:rsidRPr="00503E4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C52" w:rsidRPr="00503E40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температуры 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2 ч и 24 ч после 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левоцетиризина были на </w:t>
      </w:r>
      <w:r w:rsidR="00486F96" w:rsidRPr="00503E40">
        <w:rPr>
          <w:rFonts w:ascii="Times New Roman" w:hAnsi="Times New Roman" w:cs="Times New Roman"/>
          <w:sz w:val="24"/>
          <w:szCs w:val="24"/>
          <w:lang w:val="ru-RU"/>
        </w:rPr>
        <w:t>0,28</w:t>
      </w:r>
      <w:r w:rsidR="00AD3C52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° C и </w:t>
      </w:r>
      <w:r w:rsidR="00486F96" w:rsidRPr="00503E40">
        <w:rPr>
          <w:rFonts w:ascii="Times New Roman" w:hAnsi="Times New Roman" w:cs="Times New Roman"/>
          <w:sz w:val="24"/>
          <w:szCs w:val="24"/>
          <w:lang w:val="ru-RU"/>
        </w:rPr>
        <w:t>0,32°</w:t>
      </w:r>
      <w:r w:rsidR="00C31C0A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С ниже, чем </w:t>
      </w:r>
      <w:r w:rsidR="002F555E" w:rsidRPr="00503E40">
        <w:rPr>
          <w:rFonts w:ascii="Times New Roman" w:hAnsi="Times New Roman" w:cs="Times New Roman"/>
          <w:sz w:val="24"/>
          <w:szCs w:val="24"/>
          <w:lang w:val="ru-RU"/>
        </w:rPr>
        <w:t>повышение температуры в группе плацебо.</w:t>
      </w:r>
    </w:p>
    <w:p w:rsidR="00AD3C52" w:rsidRPr="002D537D" w:rsidRDefault="00AD3C52" w:rsidP="002F555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- В плацебо-контролированном исследовании с применением камеры для изучения аллергенов было показано, что через 1 час после применения левоцетиризина 5 мг препарат уменьшал симптомы, вызванные пыльцой растений.</w:t>
      </w:r>
    </w:p>
    <w:p w:rsidR="00686A70" w:rsidRPr="00503E40" w:rsidRDefault="00CC2918" w:rsidP="002F555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F3B3A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Левоцетиризин не влиял на интервал QT на </w:t>
      </w:r>
      <w:r w:rsidR="00686A70" w:rsidRPr="00503E40">
        <w:rPr>
          <w:rFonts w:ascii="Times New Roman" w:hAnsi="Times New Roman" w:cs="Times New Roman"/>
          <w:sz w:val="24"/>
          <w:szCs w:val="24"/>
          <w:lang w:val="ru-RU"/>
        </w:rPr>
        <w:t>ЭКГ.</w:t>
      </w:r>
    </w:p>
    <w:p w:rsidR="00686A70" w:rsidRPr="00503E40" w:rsidRDefault="00E021D3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503E4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Клиническая эффективность и безопасность</w:t>
      </w:r>
    </w:p>
    <w:p w:rsidR="0030068F" w:rsidRPr="00503E40" w:rsidRDefault="00CC2918" w:rsidP="00503E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В двух и</w:t>
      </w:r>
      <w:r w:rsidR="0030068F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сследования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30068F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30068F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фармакодинамики</w:t>
      </w:r>
      <w:proofErr w:type="spellEnd"/>
      <w:r w:rsidR="0030068F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42 </w:t>
      </w:r>
      <w:r w:rsidR="0030068F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здоровых добровольцев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сравнивали антигистаминную активность </w:t>
      </w:r>
      <w:proofErr w:type="spellStart"/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энанти</w:t>
      </w:r>
      <w:r w:rsidR="00AD3C52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меров</w:t>
      </w:r>
      <w:proofErr w:type="spellEnd"/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левоцетиризина</w:t>
      </w:r>
      <w:proofErr w:type="spellEnd"/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hu-HU"/>
        </w:rPr>
        <w:t>ucb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28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hu-HU"/>
        </w:rPr>
        <w:t>’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557, а также рацемата цетиризина на индуцированные гистамином </w:t>
      </w:r>
      <w:r w:rsidR="00AD3C52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кожные и назальные 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реакции с целью выявления наиболее эффективного энанти</w:t>
      </w:r>
      <w:r w:rsidR="00AD3C52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мера с антигистаминными свойствами и </w:t>
      </w:r>
      <w:r w:rsidR="006428C1" w:rsidRPr="00503E4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сопоставления его терапевтической активности с активностью цетиризина.</w:t>
      </w:r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Результаты фармакодинамических исследований показали, что левоцетиризин является фармакологически активным компонентом</w:t>
      </w:r>
      <w:r w:rsidR="0071137C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(эвтомером)</w:t>
      </w:r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рацемата цетиризина, антигистаминная активность </w:t>
      </w:r>
      <w:r w:rsidR="00CB24AB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последнего</w:t>
      </w:r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обусловлена энанти</w:t>
      </w:r>
      <w:r w:rsidR="00AD3C52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мером левоцетиризином. Результаты</w:t>
      </w:r>
      <w:r w:rsidR="0030068F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показали, что при половинной дозе активность левоцетиризина сравнима с активностью цетиризина. </w:t>
      </w:r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Эти результаты послужили основанием возможности перенесения результатов исследований</w:t>
      </w:r>
      <w:r w:rsidR="00CB24AB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, проведенных</w:t>
      </w:r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цетиризином</w:t>
      </w:r>
      <w:proofErr w:type="spellEnd"/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левоцетиризин</w:t>
      </w:r>
      <w:proofErr w:type="spellEnd"/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DB332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исследования сопоставимости </w:t>
      </w:r>
      <w:r w:rsidR="00CB24AB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типа</w:t>
      </w:r>
      <w:r w:rsidR="00DB332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B01F73" w:rsidRPr="00503E40">
        <w:rPr>
          <w:rFonts w:ascii="Times New Roman" w:hAnsi="Times New Roman" w:cs="Times New Roman"/>
          <w:bCs/>
          <w:i/>
          <w:sz w:val="24"/>
          <w:szCs w:val="24"/>
          <w:lang w:val="hu-HU"/>
        </w:rPr>
        <w:t>bridging</w:t>
      </w:r>
      <w:r w:rsidR="00B01F73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»).</w:t>
      </w:r>
    </w:p>
    <w:p w:rsidR="00CC2918" w:rsidRPr="00503E40" w:rsidRDefault="00CC2918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- 1686 пациентов участвовали в клинических испытаниях фазы II и III. 986 из них получали левоцетиризин в дозах от 2,5 мг до 10 мг. Клиническая эффективность </w:t>
      </w:r>
      <w:proofErr w:type="spellStart"/>
      <w:r w:rsidRPr="00503E40">
        <w:rPr>
          <w:rFonts w:ascii="Times New Roman" w:hAnsi="Times New Roman" w:cs="Times New Roman"/>
          <w:sz w:val="24"/>
          <w:szCs w:val="24"/>
          <w:lang w:val="ru-RU"/>
        </w:rPr>
        <w:t>левоцетиризина</w:t>
      </w:r>
      <w:proofErr w:type="spellEnd"/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при лечении сезонного аллергического ринита изучалась в исследовании по подборке дозы с участием 350 пациентов и в исследования</w:t>
      </w:r>
      <w:r w:rsidR="00DB3323" w:rsidRPr="00503E4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типа 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503E40">
        <w:rPr>
          <w:rFonts w:ascii="Times New Roman" w:hAnsi="Times New Roman" w:cs="Times New Roman"/>
          <w:bCs/>
          <w:i/>
          <w:sz w:val="24"/>
          <w:szCs w:val="24"/>
          <w:lang w:val="hu-HU"/>
        </w:rPr>
        <w:t>bridging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с участием 637 пациентов. </w:t>
      </w:r>
    </w:p>
    <w:p w:rsidR="00CC2918" w:rsidRPr="00503E40" w:rsidRDefault="00CC2918" w:rsidP="00CC2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по подборке доз показывает оптимальное соотношение польза/риск для дозы 5 мг левоцетиризина в день. </w:t>
      </w:r>
    </w:p>
    <w:p w:rsidR="00DB3323" w:rsidRPr="00503E40" w:rsidRDefault="002738B1" w:rsidP="00CC2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sz w:val="24"/>
          <w:szCs w:val="24"/>
          <w:lang w:val="ru-RU"/>
        </w:rPr>
        <w:t>В и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>сследовани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типа </w:t>
      </w:r>
      <w:r w:rsidR="00CC2918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CC2918" w:rsidRPr="00503E40">
        <w:rPr>
          <w:rFonts w:ascii="Times New Roman" w:hAnsi="Times New Roman" w:cs="Times New Roman"/>
          <w:bCs/>
          <w:i/>
          <w:sz w:val="24"/>
          <w:szCs w:val="24"/>
          <w:lang w:val="hu-HU"/>
        </w:rPr>
        <w:t>bridging</w:t>
      </w:r>
      <w:r w:rsidR="00CC2918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было показано, что</w:t>
      </w:r>
      <w:r w:rsidR="00CB24AB" w:rsidRPr="00503E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несколько более низкую </w:t>
      </w:r>
      <w:r w:rsidR="00017DF6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тенденцию </w:t>
      </w:r>
      <w:r w:rsidR="00CB24AB" w:rsidRPr="00503E40">
        <w:rPr>
          <w:rFonts w:ascii="Times New Roman" w:hAnsi="Times New Roman" w:cs="Times New Roman"/>
          <w:sz w:val="24"/>
          <w:szCs w:val="24"/>
          <w:lang w:val="ru-RU"/>
        </w:rPr>
        <w:t>клинической</w:t>
      </w:r>
      <w:r w:rsidR="00017DF6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эффективност</w:t>
      </w:r>
      <w:r w:rsidR="00017DF6" w:rsidRPr="00503E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, левоцетиризин в дозе 5</w:t>
      </w:r>
      <w:r w:rsidR="00C31C0A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мг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4AB" w:rsidRPr="00503E40">
        <w:rPr>
          <w:rFonts w:ascii="Times New Roman" w:hAnsi="Times New Roman" w:cs="Times New Roman"/>
          <w:sz w:val="24"/>
          <w:szCs w:val="24"/>
          <w:lang w:val="ru-RU"/>
        </w:rPr>
        <w:t>и цетиризин</w:t>
      </w:r>
      <w:r w:rsidR="00017DF6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в дозе 10 мг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DF6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>статистически значим</w:t>
      </w:r>
      <w:r w:rsidR="00017DF6" w:rsidRPr="00503E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эквивалентн</w:t>
      </w:r>
      <w:r w:rsidR="00017DF6" w:rsidRPr="00503E40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в лечении сезонного аллергического ринита (</w:t>
      </w:r>
      <w:r w:rsidR="00017DF6" w:rsidRPr="00503E40">
        <w:rPr>
          <w:rFonts w:ascii="Times New Roman" w:hAnsi="Times New Roman" w:cs="Times New Roman"/>
          <w:sz w:val="24"/>
          <w:szCs w:val="24"/>
          <w:lang w:val="ru-RU"/>
        </w:rPr>
        <w:t>что определялось как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90% доверительный интервал </w:t>
      </w:r>
      <w:r w:rsidR="00CB24AB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в пределах </w:t>
      </w:r>
      <w:r w:rsidR="00DB3323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="00DB3323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до 125%</w:t>
      </w:r>
      <w:r w:rsidR="00CC291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323" w:rsidRPr="00503E40">
        <w:rPr>
          <w:rFonts w:ascii="Times New Roman" w:hAnsi="Times New Roman" w:cs="Times New Roman"/>
          <w:sz w:val="24"/>
          <w:szCs w:val="24"/>
          <w:lang w:val="ru-RU"/>
        </w:rPr>
        <w:t>эффективности цетиризина).</w:t>
      </w:r>
    </w:p>
    <w:p w:rsidR="00C0201D" w:rsidRPr="00503E40" w:rsidRDefault="007B76E6" w:rsidP="00EC3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Так как в исследованиях типа 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503E40">
        <w:rPr>
          <w:rFonts w:ascii="Times New Roman" w:hAnsi="Times New Roman" w:cs="Times New Roman"/>
          <w:bCs/>
          <w:i/>
          <w:sz w:val="24"/>
          <w:szCs w:val="24"/>
          <w:lang w:val="hu-HU"/>
        </w:rPr>
        <w:t>bridging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C31C0A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изучались фармакодинамические и фармакокинетические параметры, а также 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терапевтическая эффективность самого важного показания, то результаты для остальных показаний (</w:t>
      </w:r>
      <w:r w:rsidR="00C0201D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круглогодичный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аллергический ринит и хроническая крапивница) были </w:t>
      </w:r>
      <w:r w:rsidR="00EC3C50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основаны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C3C50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на результатах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исследований цетиризина, что было подтверждено </w:t>
      </w:r>
      <w:r w:rsidR="00EC3C50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наблюдаемой </w:t>
      </w:r>
      <w:r w:rsidR="00C31C0A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тенденцией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эффективности лечени</w:t>
      </w:r>
      <w:r w:rsidR="00C31C0A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0201D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круглогодичного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ринита по результатам  исслед</w:t>
      </w:r>
      <w:r w:rsidR="00EC3C50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ования по подборке доз левоцетир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изина.</w:t>
      </w:r>
    </w:p>
    <w:p w:rsidR="00C0201D" w:rsidRPr="00503E40" w:rsidRDefault="00503E40" w:rsidP="00C0201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C0201D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Эффективность и безопасность левоцетиризина были непосредственно продемонстрированы в нескольких двойных-слепых плацебо-контролируемых клинических испытаниях с участием взрослых пациентов, страдающих сезонным аллергическим ринитом, круглогодичным аллергическим ринитом и персистирующим ринитом. В некоторых исследованиях было показано, что левоцетиризин вызывал значимое улучшение симптомов аллергического ринита и заложенности носа.</w:t>
      </w:r>
    </w:p>
    <w:p w:rsidR="006428C1" w:rsidRPr="00503E40" w:rsidRDefault="00E4712D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- В 6-месячном клиническом иссл</w:t>
      </w:r>
      <w:r w:rsidR="00434600">
        <w:rPr>
          <w:rFonts w:ascii="Times New Roman" w:hAnsi="Times New Roman" w:cs="Times New Roman"/>
          <w:bCs/>
          <w:sz w:val="24"/>
          <w:szCs w:val="24"/>
          <w:lang w:val="ru-RU"/>
        </w:rPr>
        <w:t>едовании с участием 551 взросл</w:t>
      </w:r>
      <w:r w:rsidR="00434600" w:rsidRPr="00434600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ого</w:t>
      </w:r>
      <w:r w:rsidR="004346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пациент</w:t>
      </w:r>
      <w:r w:rsidR="00434600" w:rsidRPr="00434600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а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, страдающих круглогодичным аллергическим ринитом (наличие симптомов на протяжении не менее 4 дней в неделю в теч</w:t>
      </w:r>
      <w:r w:rsidR="00BC32C7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ение не менее 4 недель подряд),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сенсибилизированных к клещам домашней пыли и пыльце трав, было показано, что левоцетиризин в дозе 5 мг обладал клинически и статистически достоверным преимуществом в сравнении с плацебо в отношении симптомов аллергического ринита (чихание, выделения из носа, заложенность носа, зуд в носу или в глазах) на всем протяжении исследования без признаков тахифилаксии. На всем протяжении исследования левоцетиризин клинически и статистически улучшал качество жизни пациентов. </w:t>
      </w:r>
    </w:p>
    <w:p w:rsidR="00E543F7" w:rsidRPr="002D537D" w:rsidRDefault="00BC32C7" w:rsidP="00A2408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E543F7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двух плацебо-контролированных клинических исследованиях </w:t>
      </w:r>
      <w:r w:rsidR="00C973B8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эффективности и безопасности при</w:t>
      </w:r>
      <w:r w:rsidR="00E543F7"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менения таблеток левоцетиризина в педиатрии исследовались дети в возрас</w:t>
      </w: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те 6-12 лет, страдающие сезон</w:t>
      </w:r>
      <w:r w:rsidR="00E543F7" w:rsidRPr="00503E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ным и персистирующим ринитом. В обоих </w:t>
      </w:r>
      <w:r w:rsidR="00E543F7"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исследованиях левоцетиризин значительно улучшал симптомы заболевания и качество жизни пациентов.</w:t>
      </w:r>
    </w:p>
    <w:p w:rsidR="00E834B7" w:rsidRPr="002D537D" w:rsidRDefault="00BC32C7" w:rsidP="00BC32C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1634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="004224DD"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клиническое исследование с контролем плацебо было включено 166 пациентов, страдающих идиопатической крапивницей. 85 пациентов получали плацебо, а 81 – 5 мг левоцетиризина один раз в сутки на протяжении 6 недель. По сравнению с плацебо, </w:t>
      </w:r>
      <w:r w:rsidR="004224DD" w:rsidRPr="002D537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левоцетиризин значимо понижал тяжесть зуда, начиная с первой недели и на протяжении всего периода лечения. </w:t>
      </w:r>
    </w:p>
    <w:p w:rsidR="002E6724" w:rsidRPr="002D537D" w:rsidRDefault="005446A7" w:rsidP="005446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</w:p>
    <w:p w:rsidR="0030068F" w:rsidRPr="002D537D" w:rsidRDefault="0030068F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5.2</w:t>
      </w:r>
      <w:r w:rsidRPr="002D537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ab/>
        <w:t xml:space="preserve">Фармакокинетические свойства </w:t>
      </w:r>
    </w:p>
    <w:p w:rsidR="0030068F" w:rsidRPr="002D537D" w:rsidRDefault="0030068F" w:rsidP="00FA51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Фармакокинетика левоцетиризина линейна, не зависима от дозы и времени и имеет малые различия у разных испытуемых. Фармакокинетические профили энантиомера и цетиризина сходны. При всасывании или выведении не происходит хиральной инверсии. </w:t>
      </w:r>
    </w:p>
    <w:p w:rsidR="0030068F" w:rsidRPr="002D537D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Всасывание 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После приема внутрь левоцетиризин быстро и в значительной степени всасывается. Максимальная концентрация в плазме крови достигается через 0,9 часов после приема. Равновесное состояние достигается через два дня. Обычные пиковые концентрации после однократного и многократного (по 5 мг ежедневно) пр</w:t>
      </w:r>
      <w:r w:rsidR="00CC5DD6"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иема составляют соответственно </w:t>
      </w: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270 нг/мл и 308 нг/мл. Степень всасывания зависит от дозы и не зависит от пищи, однако в случае приема пищи пиковая концентрация снижается и наступает позже. </w:t>
      </w:r>
    </w:p>
    <w:p w:rsidR="0030068F" w:rsidRPr="002D537D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Распределение 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Данные о распределении препарата в тканях человека и проникновении через гематоэнцефалический барьер отсутствуют.  У крыс и собак самые высокие уровни в тканях обнаружены в печени и почках, а самые низкие в ЦНС. 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Левоцетиризин на 90% связывается с белками плазмы крови. Распределение левоцетиризина ограничено, так как объем распределения составляет 0,4 л/кг. </w:t>
      </w:r>
    </w:p>
    <w:p w:rsidR="0030068F" w:rsidRPr="002D537D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Биотрансформация 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У человека менее 14% введенной дозы левоцетиризина подвергается метаболической трансформации, в связи с чем</w:t>
      </w:r>
      <w:r w:rsidR="00CC5DD6" w:rsidRPr="002D537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считается, что различия, связанные с генетическим полиморфизмом или сопутствующим приемом ингибиторов ферментов, являются незначительными. К путям метаболизма относятся окисление ароматического кольца, N- и O-деалкилирование, конъюгация с таурином. Деалкилирование в основном опосредовано CYP 3A4, а в окислении ароматического кольца участвуют многие и/или неидентифицированные изоформы CYP. Левоцетиризин не влияет на активности изоферментов CYP 1A2, 2C9, 2C19, 2D6, 2E1 и 3A4 при концентрациях, значительно превышающих пиковые концентрации, достижимые после приема внутрь 5 мг. 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малой степени метаболизма и отсутствия возможного подавления метаболизма, взаимодействие левоцетиризина с другими веществами маловероятно. </w:t>
      </w:r>
    </w:p>
    <w:p w:rsidR="0030068F" w:rsidRPr="002D537D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Выведение 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Период полувыведения из плазмы равен 7,9 ± 1,9 часов. Средний видимый клиренс из всего организма составляет 0,63 мл/мин на 1 кг. Основной путь экскреции левоцетиризина и его метаболитов - через почки с мочой; таким путем выводится в среднем 85,4% дозы. Экскреция с калом составляет лишь 12,9% от дозы. Левоцетиризин выделяется при помощи как клубочковой фильтрации, так и активной канальцевой секреции.</w:t>
      </w:r>
    </w:p>
    <w:p w:rsidR="00CC5DD6" w:rsidRPr="002D537D" w:rsidRDefault="00CC5DD6" w:rsidP="00A24081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2D537D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Специальные группы пациентов</w:t>
      </w:r>
    </w:p>
    <w:p w:rsidR="0030068F" w:rsidRPr="002D537D" w:rsidRDefault="0030068F" w:rsidP="00A240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Нарушение функции почек </w:t>
      </w:r>
    </w:p>
    <w:p w:rsidR="005F7A05" w:rsidRPr="002D537D" w:rsidRDefault="00487B3D" w:rsidP="00CC5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Полный</w:t>
      </w:r>
      <w:r w:rsidR="0030068F"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 клиренс левоцетиризина коррелирует с клиренсом креатинина. Поэтому рекомендуется уточнять интервалы между приемами левоцетиризина на основании клиренса креатинина у пациентов с умеренным или выраженным нарушением функции почек</w:t>
      </w:r>
      <w:r w:rsidR="00CC5DD6"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 (см. раздел 4.2)</w:t>
      </w:r>
      <w:r w:rsidR="0030068F" w:rsidRPr="002D537D">
        <w:rPr>
          <w:rFonts w:ascii="Times New Roman" w:hAnsi="Times New Roman" w:cs="Times New Roman"/>
          <w:sz w:val="24"/>
          <w:szCs w:val="24"/>
          <w:lang w:val="ru-RU"/>
        </w:rPr>
        <w:t>. В анурической стадии почечных заболеваний общий клиренс из всего организма снижается примерно на 80% по сравнению со здоровыми испытуемыми. При стандартной процедуре 4-часового гемодиализа выводитс</w:t>
      </w:r>
      <w:r w:rsidR="00CC5DD6" w:rsidRPr="002D537D">
        <w:rPr>
          <w:rFonts w:ascii="Times New Roman" w:hAnsi="Times New Roman" w:cs="Times New Roman"/>
          <w:sz w:val="24"/>
          <w:szCs w:val="24"/>
          <w:lang w:val="ru-RU"/>
        </w:rPr>
        <w:t>я менее чем 10% левоцетиризина.</w:t>
      </w:r>
    </w:p>
    <w:p w:rsidR="00CC5DD6" w:rsidRPr="00503E40" w:rsidRDefault="00CC5DD6" w:rsidP="00CC5DD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i/>
          <w:sz w:val="24"/>
          <w:szCs w:val="24"/>
          <w:lang w:val="ru-RU"/>
        </w:rPr>
        <w:t>Ф</w:t>
      </w:r>
      <w:r w:rsidR="00C37B58" w:rsidRPr="00503E40">
        <w:rPr>
          <w:rFonts w:ascii="Times New Roman" w:hAnsi="Times New Roman" w:cs="Times New Roman"/>
          <w:i/>
          <w:sz w:val="24"/>
          <w:szCs w:val="24"/>
          <w:lang w:val="ru-RU"/>
        </w:rPr>
        <w:t>армакокинети</w:t>
      </w:r>
      <w:r w:rsidRPr="00503E40">
        <w:rPr>
          <w:rFonts w:ascii="Times New Roman" w:hAnsi="Times New Roman" w:cs="Times New Roman"/>
          <w:i/>
          <w:sz w:val="24"/>
          <w:szCs w:val="24"/>
          <w:lang w:val="ru-RU"/>
        </w:rPr>
        <w:t>ческая / фармакодинамическая зависимость</w:t>
      </w:r>
    </w:p>
    <w:p w:rsidR="00C37B58" w:rsidRPr="00503E40" w:rsidRDefault="00CC5DD6" w:rsidP="00CC5D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sz w:val="24"/>
          <w:szCs w:val="24"/>
          <w:lang w:val="ru-RU"/>
        </w:rPr>
        <w:lastRenderedPageBreak/>
        <w:t>Эффект левоцетиризина</w:t>
      </w:r>
      <w:r w:rsidR="00C37B5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на гистамин-индуцированн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C37B5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кожную </w:t>
      </w:r>
      <w:r w:rsidR="00C37B58" w:rsidRPr="00503E40">
        <w:rPr>
          <w:rFonts w:ascii="Times New Roman" w:hAnsi="Times New Roman" w:cs="Times New Roman"/>
          <w:sz w:val="24"/>
          <w:szCs w:val="24"/>
          <w:lang w:val="ru-RU"/>
        </w:rPr>
        <w:t>реакци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37B58" w:rsidRPr="00503E4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зависит от его к</w:t>
      </w:r>
      <w:r w:rsidR="00C37B58" w:rsidRPr="00503E40">
        <w:rPr>
          <w:rFonts w:ascii="Times New Roman" w:hAnsi="Times New Roman" w:cs="Times New Roman"/>
          <w:sz w:val="24"/>
          <w:szCs w:val="24"/>
          <w:lang w:val="ru-RU"/>
        </w:rPr>
        <w:t>онцентраци</w:t>
      </w:r>
      <w:r w:rsidRPr="00503E40">
        <w:rPr>
          <w:rFonts w:ascii="Times New Roman" w:hAnsi="Times New Roman" w:cs="Times New Roman"/>
          <w:sz w:val="24"/>
          <w:szCs w:val="24"/>
          <w:lang w:val="ru-RU"/>
        </w:rPr>
        <w:t>и в плазме</w:t>
      </w:r>
    </w:p>
    <w:p w:rsidR="0030068F" w:rsidRPr="002D537D" w:rsidRDefault="0030068F" w:rsidP="00503E40">
      <w:pPr>
        <w:pStyle w:val="1"/>
        <w:tabs>
          <w:tab w:val="left" w:pos="567"/>
        </w:tabs>
        <w:spacing w:line="360" w:lineRule="auto"/>
        <w:rPr>
          <w:i/>
          <w:iCs/>
          <w:caps w:val="0"/>
          <w:lang w:val="ru-RU"/>
        </w:rPr>
      </w:pPr>
      <w:r w:rsidRPr="002D537D">
        <w:rPr>
          <w:caps w:val="0"/>
          <w:lang w:val="ru-RU"/>
        </w:rPr>
        <w:t>5.3</w:t>
      </w:r>
      <w:r w:rsidRPr="002D537D">
        <w:rPr>
          <w:caps w:val="0"/>
          <w:lang w:val="ru-RU"/>
        </w:rPr>
        <w:tab/>
        <w:t>Доклинические исследования безопасности</w:t>
      </w:r>
    </w:p>
    <w:p w:rsidR="0030068F" w:rsidRPr="002D537D" w:rsidRDefault="0030068F" w:rsidP="0030068F">
      <w:pPr>
        <w:pStyle w:val="a3"/>
        <w:rPr>
          <w:sz w:val="24"/>
          <w:szCs w:val="24"/>
          <w:lang w:val="ru-RU"/>
        </w:rPr>
      </w:pPr>
      <w:r w:rsidRPr="002D537D">
        <w:rPr>
          <w:sz w:val="24"/>
          <w:szCs w:val="24"/>
          <w:lang w:val="ru-RU"/>
        </w:rPr>
        <w:t>Данные доклинических испытаний показывают, что этот препарат не представляет особой опасности для человека, судя по результатам общепринятых тестов на безопасность, токсичность многократных доз, генотоксичность, канцерогенность и токсичность для репродуктивной функции.</w:t>
      </w:r>
    </w:p>
    <w:p w:rsidR="008D15DD" w:rsidRPr="0016346F" w:rsidRDefault="008D15DD" w:rsidP="0030068F">
      <w:pPr>
        <w:pStyle w:val="a3"/>
        <w:rPr>
          <w:color w:val="7030A0"/>
          <w:sz w:val="24"/>
          <w:szCs w:val="24"/>
          <w:lang w:val="ru-RU"/>
        </w:rPr>
      </w:pPr>
      <w:r w:rsidRPr="0016346F">
        <w:rPr>
          <w:color w:val="7030A0"/>
          <w:sz w:val="24"/>
          <w:szCs w:val="24"/>
          <w:lang w:val="ru-RU"/>
        </w:rPr>
        <w:t xml:space="preserve">В экспериментах на собаках было показано, что при пероральном введении левоцетиризина в течение трех месяцев интервал </w:t>
      </w:r>
      <w:r w:rsidRPr="0016346F">
        <w:rPr>
          <w:color w:val="7030A0"/>
          <w:sz w:val="24"/>
          <w:szCs w:val="24"/>
          <w:lang w:val="hu-HU"/>
        </w:rPr>
        <w:t>QT</w:t>
      </w:r>
      <w:r w:rsidRPr="0016346F">
        <w:rPr>
          <w:color w:val="7030A0"/>
          <w:sz w:val="24"/>
          <w:szCs w:val="24"/>
          <w:lang w:val="ru-RU"/>
        </w:rPr>
        <w:t xml:space="preserve"> на ЭКГ не изменялся. При внутривенном введении высоких доз левоцетиризина собакам препарат не влиял </w:t>
      </w:r>
      <w:r w:rsidR="00E61D6A" w:rsidRPr="0016346F">
        <w:rPr>
          <w:color w:val="7030A0"/>
          <w:sz w:val="24"/>
          <w:szCs w:val="24"/>
          <w:lang w:val="ru-RU"/>
        </w:rPr>
        <w:t xml:space="preserve">ни </w:t>
      </w:r>
      <w:r w:rsidRPr="0016346F">
        <w:rPr>
          <w:color w:val="7030A0"/>
          <w:sz w:val="24"/>
          <w:szCs w:val="24"/>
          <w:lang w:val="ru-RU"/>
        </w:rPr>
        <w:t xml:space="preserve">на время и </w:t>
      </w:r>
      <w:r w:rsidR="00E61D6A" w:rsidRPr="0016346F">
        <w:rPr>
          <w:color w:val="7030A0"/>
          <w:sz w:val="24"/>
          <w:szCs w:val="24"/>
          <w:lang w:val="ru-RU"/>
        </w:rPr>
        <w:t xml:space="preserve">скорость </w:t>
      </w:r>
      <w:r w:rsidRPr="0016346F">
        <w:rPr>
          <w:color w:val="7030A0"/>
          <w:sz w:val="24"/>
          <w:szCs w:val="24"/>
          <w:lang w:val="ru-RU"/>
        </w:rPr>
        <w:t>распространени</w:t>
      </w:r>
      <w:r w:rsidR="00E61D6A" w:rsidRPr="0016346F">
        <w:rPr>
          <w:color w:val="7030A0"/>
          <w:sz w:val="24"/>
          <w:szCs w:val="24"/>
          <w:lang w:val="ru-RU"/>
        </w:rPr>
        <w:t>я</w:t>
      </w:r>
      <w:r w:rsidRPr="0016346F">
        <w:rPr>
          <w:color w:val="7030A0"/>
          <w:sz w:val="24"/>
          <w:szCs w:val="24"/>
          <w:lang w:val="ru-RU"/>
        </w:rPr>
        <w:t xml:space="preserve"> монофазного </w:t>
      </w:r>
      <w:r w:rsidR="00E61D6A" w:rsidRPr="0016346F">
        <w:rPr>
          <w:color w:val="7030A0"/>
          <w:sz w:val="24"/>
          <w:szCs w:val="24"/>
          <w:lang w:val="ru-RU"/>
        </w:rPr>
        <w:t xml:space="preserve">желудочкового </w:t>
      </w:r>
      <w:r w:rsidRPr="0016346F">
        <w:rPr>
          <w:color w:val="7030A0"/>
          <w:sz w:val="24"/>
          <w:szCs w:val="24"/>
          <w:lang w:val="ru-RU"/>
        </w:rPr>
        <w:t xml:space="preserve">внутримиокардиального потенциала действия </w:t>
      </w:r>
      <w:r w:rsidR="00E61D6A" w:rsidRPr="0016346F">
        <w:rPr>
          <w:color w:val="7030A0"/>
          <w:sz w:val="24"/>
          <w:szCs w:val="24"/>
          <w:lang w:val="ru-RU"/>
        </w:rPr>
        <w:t>ни</w:t>
      </w:r>
      <w:r w:rsidRPr="0016346F">
        <w:rPr>
          <w:color w:val="7030A0"/>
          <w:sz w:val="24"/>
          <w:szCs w:val="24"/>
          <w:lang w:val="ru-RU"/>
        </w:rPr>
        <w:t xml:space="preserve"> на интервал </w:t>
      </w:r>
      <w:r w:rsidRPr="0016346F">
        <w:rPr>
          <w:color w:val="7030A0"/>
          <w:sz w:val="24"/>
          <w:szCs w:val="24"/>
          <w:lang w:val="hu-HU"/>
        </w:rPr>
        <w:t>QT</w:t>
      </w:r>
      <w:r w:rsidRPr="0016346F">
        <w:rPr>
          <w:color w:val="7030A0"/>
          <w:sz w:val="24"/>
          <w:szCs w:val="24"/>
          <w:lang w:val="ru-RU"/>
        </w:rPr>
        <w:t xml:space="preserve"> и не вызывал аритмии или пароксизмальной тахикардии типа «пируэт». </w:t>
      </w:r>
    </w:p>
    <w:p w:rsidR="0030068F" w:rsidRPr="0016346F" w:rsidRDefault="0030068F" w:rsidP="009B4CC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</w:p>
    <w:p w:rsidR="0030068F" w:rsidRPr="002D537D" w:rsidRDefault="0030068F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ФАРМАЦЕВТИЧЕСКИЕ СВОЙСТВА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068F" w:rsidRPr="002D537D" w:rsidRDefault="0030068F" w:rsidP="00503E4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>6.1</w:t>
      </w: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Список вспомогательных веществ </w:t>
      </w:r>
    </w:p>
    <w:p w:rsidR="001D54B2" w:rsidRPr="002D537D" w:rsidRDefault="00503E40" w:rsidP="001D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 xml:space="preserve">Глицерин </w:t>
      </w:r>
      <w:r w:rsidR="001D54B2" w:rsidRPr="002D537D">
        <w:rPr>
          <w:rFonts w:ascii="Times New Roman" w:hAnsi="Times New Roman" w:cs="Times New Roman"/>
          <w:sz w:val="24"/>
          <w:szCs w:val="24"/>
          <w:lang w:val="ru-RU"/>
        </w:rPr>
        <w:t>85%, пропиленгликоль, натрия сахаринат, натрия ацетата тригидрат, метил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1D54B2" w:rsidRPr="002D537D">
        <w:rPr>
          <w:rFonts w:ascii="Times New Roman" w:hAnsi="Times New Roman" w:cs="Times New Roman"/>
          <w:sz w:val="24"/>
          <w:szCs w:val="24"/>
          <w:lang w:val="ru-RU"/>
        </w:rPr>
        <w:t>парагидроксибензоат, пропил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1D54B2" w:rsidRPr="002D537D">
        <w:rPr>
          <w:rFonts w:ascii="Times New Roman" w:hAnsi="Times New Roman" w:cs="Times New Roman"/>
          <w:sz w:val="24"/>
          <w:szCs w:val="24"/>
          <w:lang w:val="ru-RU"/>
        </w:rPr>
        <w:t>парагидроксибензоат, ледяная уксусная кислота, вода очищенная.</w:t>
      </w:r>
    </w:p>
    <w:p w:rsidR="001D54B2" w:rsidRPr="002D537D" w:rsidRDefault="001D54B2" w:rsidP="001D54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D54B2" w:rsidRPr="002D537D" w:rsidRDefault="001D54B2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>6.2</w:t>
      </w: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ab/>
        <w:t>Несовместимости</w:t>
      </w:r>
    </w:p>
    <w:p w:rsidR="001D54B2" w:rsidRPr="002D537D" w:rsidRDefault="001D54B2" w:rsidP="00503E40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Неприменимо.</w:t>
      </w:r>
    </w:p>
    <w:p w:rsidR="001D54B2" w:rsidRPr="002D537D" w:rsidRDefault="001D54B2" w:rsidP="001D54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D54B2" w:rsidRPr="002D537D" w:rsidRDefault="001D54B2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>6.3</w:t>
      </w: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ab/>
        <w:t>Срок годности</w:t>
      </w:r>
    </w:p>
    <w:p w:rsidR="001D54B2" w:rsidRPr="002D537D" w:rsidRDefault="001D54B2" w:rsidP="00503E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sz w:val="24"/>
          <w:szCs w:val="24"/>
          <w:lang w:val="ru-RU"/>
        </w:rPr>
        <w:t>4 года</w:t>
      </w:r>
    </w:p>
    <w:p w:rsidR="001D54B2" w:rsidRPr="002D537D" w:rsidRDefault="001D54B2" w:rsidP="001D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4B2" w:rsidRPr="002D537D" w:rsidRDefault="001D54B2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6.4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Условия хранения</w:t>
      </w:r>
    </w:p>
    <w:p w:rsidR="00503E40" w:rsidRPr="00503E40" w:rsidRDefault="00503E40" w:rsidP="00503E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E40">
        <w:rPr>
          <w:rFonts w:ascii="Times New Roman" w:hAnsi="Times New Roman" w:cs="Times New Roman"/>
          <w:sz w:val="24"/>
          <w:szCs w:val="24"/>
          <w:lang w:val="ru-RU"/>
        </w:rPr>
        <w:t>Хранить при температуре не выше 25°C, в недоступном для детей месте! Не замораживать!</w:t>
      </w:r>
    </w:p>
    <w:p w:rsidR="0016346F" w:rsidRPr="0016346F" w:rsidRDefault="0016346F" w:rsidP="0016346F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6346F">
        <w:rPr>
          <w:rFonts w:ascii="Times New Roman" w:hAnsi="Times New Roman" w:cs="Times New Roman"/>
          <w:color w:val="FF0000"/>
          <w:sz w:val="24"/>
          <w:szCs w:val="24"/>
          <w:lang w:val="ru-RU"/>
        </w:rPr>
        <w:t>Открытый флакон хранить не более 6-ти недель!</w:t>
      </w:r>
    </w:p>
    <w:p w:rsidR="001D54B2" w:rsidRPr="002D537D" w:rsidRDefault="001D54B2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6.5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Упаковка</w:t>
      </w:r>
    </w:p>
    <w:p w:rsidR="007B1CB7" w:rsidRPr="007B1CB7" w:rsidRDefault="001D54B2" w:rsidP="007B1CB7">
      <w:pPr>
        <w:pStyle w:val="a3"/>
        <w:spacing w:after="120"/>
        <w:rPr>
          <w:color w:val="FF0000"/>
          <w:sz w:val="24"/>
          <w:szCs w:val="24"/>
          <w:lang w:val="ru-RU"/>
        </w:rPr>
      </w:pPr>
      <w:r w:rsidRPr="002D537D">
        <w:rPr>
          <w:sz w:val="24"/>
          <w:szCs w:val="24"/>
          <w:lang w:val="ru-RU"/>
        </w:rPr>
        <w:t>Стеклянные флаконы коричневого цвета с резьбой для навинчивания крышки, объемом 20 мл, с полиэтиленовой капельницей и полипропиленовой крышкой с внутренним полиэтиленовым слоем, снабженной специальной защитой от открывания детьми и контролем первого вскрытия.</w:t>
      </w:r>
      <w:r w:rsidR="007B1CB7">
        <w:rPr>
          <w:sz w:val="24"/>
          <w:szCs w:val="24"/>
          <w:lang w:val="ru-RU"/>
        </w:rPr>
        <w:t xml:space="preserve"> </w:t>
      </w:r>
      <w:r w:rsidR="007B1CB7" w:rsidRPr="007B1CB7">
        <w:rPr>
          <w:color w:val="FF0000"/>
          <w:sz w:val="24"/>
          <w:szCs w:val="24"/>
          <w:lang w:val="ru-RU"/>
        </w:rPr>
        <w:t>1 флакон упакован в картонную пачку вместе с инструкцией по медицинскому применению для пациентов.</w:t>
      </w:r>
    </w:p>
    <w:p w:rsidR="001D54B2" w:rsidRPr="002D537D" w:rsidRDefault="001D54B2" w:rsidP="001D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4B2" w:rsidRPr="002D537D" w:rsidRDefault="001D54B2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6.6</w:t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>Инструкция по применению и обращению</w:t>
      </w:r>
    </w:p>
    <w:p w:rsidR="001D54B2" w:rsidRPr="002D537D" w:rsidRDefault="001D54B2" w:rsidP="00503E40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Специальные требования отсутствуют. </w:t>
      </w:r>
    </w:p>
    <w:p w:rsidR="001D54B2" w:rsidRPr="002D537D" w:rsidRDefault="001D54B2" w:rsidP="001D54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Удаление любых количеств неиспользованного препарата или отходов следует выполнять в соответствии с местными требованиями.</w:t>
      </w:r>
    </w:p>
    <w:p w:rsidR="001D54B2" w:rsidRPr="002D537D" w:rsidRDefault="001D54B2" w:rsidP="001D54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D54B2" w:rsidRPr="002D537D" w:rsidRDefault="001D54B2" w:rsidP="00503E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6.7 </w:t>
      </w:r>
      <w:r w:rsidR="00503E40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2D537D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отпуска</w:t>
      </w:r>
    </w:p>
    <w:p w:rsidR="0030068F" w:rsidRPr="002D537D" w:rsidRDefault="00503E40" w:rsidP="00503E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03E40">
        <w:rPr>
          <w:rFonts w:ascii="Times New Roman" w:hAnsi="Times New Roman" w:cs="Times New Roman"/>
          <w:bCs/>
          <w:sz w:val="24"/>
          <w:szCs w:val="24"/>
          <w:lang w:val="ru-RU"/>
        </w:rPr>
        <w:t>Отпускается без рецепта врача.</w:t>
      </w:r>
    </w:p>
    <w:p w:rsidR="001D54B2" w:rsidRPr="002D537D" w:rsidRDefault="001D54B2" w:rsidP="003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068F" w:rsidRPr="002D537D" w:rsidRDefault="0030068F" w:rsidP="00503E40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0714" w:rsidRPr="002D5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2D537D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ПРОИЗВОДИТЕЛЕ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ЗАО «Фармацевтический Завод ЭГИС»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1106 Будапешт, ул. Керестури, 30-38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537D">
        <w:rPr>
          <w:rFonts w:ascii="Times New Roman" w:hAnsi="Times New Roman" w:cs="Times New Roman"/>
          <w:bCs/>
          <w:sz w:val="24"/>
          <w:szCs w:val="24"/>
          <w:lang w:val="ru-RU"/>
        </w:rPr>
        <w:t>ВЕНГРИЯ</w:t>
      </w:r>
    </w:p>
    <w:p w:rsidR="0030068F" w:rsidRPr="002D537D" w:rsidRDefault="0030068F" w:rsidP="00300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068F" w:rsidRPr="002D537D" w:rsidRDefault="0030068F" w:rsidP="009B4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D9A" w:rsidRPr="002D537D" w:rsidRDefault="0012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23D9A" w:rsidRPr="002D537D" w:rsidSect="007C61C0">
      <w:headerReference w:type="default" r:id="rId11"/>
      <w:footerReference w:type="default" r:id="rId12"/>
      <w:footerReference w:type="first" r:id="rId13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C2" w:rsidRDefault="00E02BC2" w:rsidP="00317021">
      <w:pPr>
        <w:spacing w:after="0" w:line="240" w:lineRule="auto"/>
      </w:pPr>
      <w:r>
        <w:separator/>
      </w:r>
    </w:p>
  </w:endnote>
  <w:endnote w:type="continuationSeparator" w:id="0">
    <w:p w:rsidR="00E02BC2" w:rsidRDefault="00E02BC2" w:rsidP="0031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DA" w:rsidRPr="006127DA" w:rsidRDefault="006127DA" w:rsidP="006127DA">
    <w:pPr>
      <w:pStyle w:val="a9"/>
      <w:rPr>
        <w:rFonts w:ascii="Arial" w:hAnsi="Arial" w:cs="Arial"/>
        <w:sz w:val="18"/>
        <w:szCs w:val="20"/>
      </w:rPr>
    </w:pPr>
    <w:r w:rsidRPr="006127DA">
      <w:rPr>
        <w:rFonts w:ascii="Arial" w:hAnsi="Arial" w:cs="Arial"/>
        <w:sz w:val="18"/>
        <w:szCs w:val="20"/>
        <w:lang w:val="hu-HU"/>
      </w:rPr>
      <w:t>Parlazin Neo</w:t>
    </w:r>
    <w:r w:rsidRPr="006127DA">
      <w:rPr>
        <w:rFonts w:ascii="Arial" w:hAnsi="Arial" w:cs="Arial"/>
        <w:sz w:val="18"/>
        <w:szCs w:val="20"/>
      </w:rPr>
      <w:t xml:space="preserve"> </w:t>
    </w:r>
    <w:r w:rsidRPr="006127DA">
      <w:rPr>
        <w:rFonts w:ascii="Arial" w:hAnsi="Arial" w:cs="Arial"/>
        <w:sz w:val="18"/>
        <w:szCs w:val="20"/>
        <w:lang w:val="hu-HU"/>
      </w:rPr>
      <w:t>drops BY SmPC 201</w:t>
    </w:r>
    <w:r w:rsidRPr="006127DA">
      <w:rPr>
        <w:rFonts w:ascii="Arial" w:hAnsi="Arial" w:cs="Arial"/>
        <w:sz w:val="18"/>
        <w:szCs w:val="20"/>
      </w:rPr>
      <w:t>503</w:t>
    </w:r>
  </w:p>
  <w:p w:rsidR="006127DA" w:rsidRDefault="006127DA">
    <w:pPr>
      <w:pStyle w:val="a9"/>
      <w:rPr>
        <w:rFonts w:ascii="Times New Roman" w:hAnsi="Times New Roman" w:cs="Times New Roman"/>
        <w:sz w:val="20"/>
        <w:szCs w:val="20"/>
        <w:lang w:val="hu-HU"/>
      </w:rPr>
    </w:pPr>
  </w:p>
  <w:p w:rsidR="006127DA" w:rsidRPr="006127DA" w:rsidRDefault="006127DA">
    <w:pPr>
      <w:rPr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DA" w:rsidRPr="002D537D" w:rsidRDefault="006127DA" w:rsidP="002D537D">
    <w:pPr>
      <w:pStyle w:val="a9"/>
      <w:rPr>
        <w:rFonts w:ascii="Arial" w:hAnsi="Arial" w:cs="Arial"/>
        <w:sz w:val="20"/>
      </w:rPr>
    </w:pPr>
    <w:r w:rsidRPr="002D537D">
      <w:rPr>
        <w:rFonts w:ascii="Arial" w:hAnsi="Arial" w:cs="Arial"/>
        <w:sz w:val="18"/>
        <w:szCs w:val="20"/>
        <w:lang w:val="hu-HU"/>
      </w:rPr>
      <w:t>Parlazin Neo drops BY SmPC 201503</w:t>
    </w:r>
  </w:p>
  <w:p w:rsidR="006127DA" w:rsidRDefault="006127DA">
    <w:pPr>
      <w:pStyle w:val="a9"/>
      <w:rPr>
        <w:rFonts w:ascii="Times New Roman" w:hAnsi="Times New Roman" w:cs="Times New Roman"/>
        <w:sz w:val="20"/>
        <w:szCs w:val="20"/>
        <w:lang w:val="hu-HU"/>
      </w:rPr>
    </w:pPr>
  </w:p>
  <w:p w:rsidR="006127DA" w:rsidRDefault="006127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C2" w:rsidRDefault="00E02BC2" w:rsidP="00317021">
      <w:pPr>
        <w:spacing w:after="0" w:line="240" w:lineRule="auto"/>
      </w:pPr>
      <w:r>
        <w:separator/>
      </w:r>
    </w:p>
  </w:footnote>
  <w:footnote w:type="continuationSeparator" w:id="0">
    <w:p w:rsidR="00E02BC2" w:rsidRDefault="00E02BC2" w:rsidP="0031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486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:rsidR="006127DA" w:rsidRPr="006127DA" w:rsidRDefault="006127DA">
        <w:pPr>
          <w:pStyle w:val="a7"/>
          <w:jc w:val="center"/>
          <w:rPr>
            <w:rFonts w:ascii="Times New Roman" w:hAnsi="Times New Roman" w:cs="Times New Roman"/>
            <w:szCs w:val="20"/>
          </w:rPr>
        </w:pPr>
        <w:r w:rsidRPr="006127DA">
          <w:rPr>
            <w:rFonts w:ascii="Times New Roman" w:hAnsi="Times New Roman" w:cs="Times New Roman"/>
            <w:szCs w:val="20"/>
          </w:rPr>
          <w:fldChar w:fldCharType="begin"/>
        </w:r>
        <w:r w:rsidRPr="006127DA">
          <w:rPr>
            <w:rFonts w:ascii="Times New Roman" w:hAnsi="Times New Roman" w:cs="Times New Roman"/>
            <w:szCs w:val="20"/>
          </w:rPr>
          <w:instrText>PAGE   \* MERGEFORMAT</w:instrText>
        </w:r>
        <w:r w:rsidRPr="006127DA">
          <w:rPr>
            <w:rFonts w:ascii="Times New Roman" w:hAnsi="Times New Roman" w:cs="Times New Roman"/>
            <w:szCs w:val="20"/>
          </w:rPr>
          <w:fldChar w:fldCharType="separate"/>
        </w:r>
        <w:r w:rsidR="00CC767F" w:rsidRPr="00CC767F">
          <w:rPr>
            <w:rFonts w:ascii="Times New Roman" w:hAnsi="Times New Roman" w:cs="Times New Roman"/>
            <w:noProof/>
            <w:szCs w:val="20"/>
            <w:lang w:val="hu-HU"/>
          </w:rPr>
          <w:t>3</w:t>
        </w:r>
        <w:r w:rsidRPr="006127DA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:rsidR="006127DA" w:rsidRDefault="006127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220"/>
    <w:multiLevelType w:val="hybridMultilevel"/>
    <w:tmpl w:val="3F367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A091D"/>
    <w:multiLevelType w:val="hybridMultilevel"/>
    <w:tmpl w:val="C13A5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C"/>
    <w:rsid w:val="00017DF6"/>
    <w:rsid w:val="00031A42"/>
    <w:rsid w:val="00032FEA"/>
    <w:rsid w:val="00060711"/>
    <w:rsid w:val="0006289B"/>
    <w:rsid w:val="000631CA"/>
    <w:rsid w:val="000922BD"/>
    <w:rsid w:val="000A73E4"/>
    <w:rsid w:val="000C1781"/>
    <w:rsid w:val="000C393D"/>
    <w:rsid w:val="000E2D6B"/>
    <w:rsid w:val="000F1BF1"/>
    <w:rsid w:val="00106759"/>
    <w:rsid w:val="00123D9A"/>
    <w:rsid w:val="00145A55"/>
    <w:rsid w:val="00151AE4"/>
    <w:rsid w:val="00155200"/>
    <w:rsid w:val="00157C6E"/>
    <w:rsid w:val="0016027D"/>
    <w:rsid w:val="0016346F"/>
    <w:rsid w:val="001746F9"/>
    <w:rsid w:val="001D54B2"/>
    <w:rsid w:val="00211326"/>
    <w:rsid w:val="00221EC0"/>
    <w:rsid w:val="002270DB"/>
    <w:rsid w:val="00247D30"/>
    <w:rsid w:val="0025379A"/>
    <w:rsid w:val="00265E29"/>
    <w:rsid w:val="00271EE1"/>
    <w:rsid w:val="002738B1"/>
    <w:rsid w:val="002806AF"/>
    <w:rsid w:val="002978E9"/>
    <w:rsid w:val="002B537A"/>
    <w:rsid w:val="002D537D"/>
    <w:rsid w:val="002E2E60"/>
    <w:rsid w:val="002E6724"/>
    <w:rsid w:val="002F555E"/>
    <w:rsid w:val="0030068F"/>
    <w:rsid w:val="00317021"/>
    <w:rsid w:val="00337B68"/>
    <w:rsid w:val="003434A8"/>
    <w:rsid w:val="003C4AB0"/>
    <w:rsid w:val="003E0106"/>
    <w:rsid w:val="003E7659"/>
    <w:rsid w:val="003F504A"/>
    <w:rsid w:val="004224DD"/>
    <w:rsid w:val="00422C78"/>
    <w:rsid w:val="0042431B"/>
    <w:rsid w:val="00434600"/>
    <w:rsid w:val="00444B18"/>
    <w:rsid w:val="004850F6"/>
    <w:rsid w:val="00486F96"/>
    <w:rsid w:val="00487B3D"/>
    <w:rsid w:val="0049165D"/>
    <w:rsid w:val="004962F0"/>
    <w:rsid w:val="004A19AF"/>
    <w:rsid w:val="004E0714"/>
    <w:rsid w:val="004E3AD0"/>
    <w:rsid w:val="00503E40"/>
    <w:rsid w:val="005446A7"/>
    <w:rsid w:val="005562D2"/>
    <w:rsid w:val="00560143"/>
    <w:rsid w:val="00564904"/>
    <w:rsid w:val="005704A1"/>
    <w:rsid w:val="00586C81"/>
    <w:rsid w:val="005B5782"/>
    <w:rsid w:val="005D1577"/>
    <w:rsid w:val="005D5F12"/>
    <w:rsid w:val="005F7A05"/>
    <w:rsid w:val="006127DA"/>
    <w:rsid w:val="0061313E"/>
    <w:rsid w:val="0063608F"/>
    <w:rsid w:val="006428C1"/>
    <w:rsid w:val="00657B8A"/>
    <w:rsid w:val="006634C7"/>
    <w:rsid w:val="00674926"/>
    <w:rsid w:val="00686A70"/>
    <w:rsid w:val="0069293A"/>
    <w:rsid w:val="006C279F"/>
    <w:rsid w:val="006C679C"/>
    <w:rsid w:val="006F4F8C"/>
    <w:rsid w:val="0070219C"/>
    <w:rsid w:val="0071137C"/>
    <w:rsid w:val="00750171"/>
    <w:rsid w:val="007A4E2A"/>
    <w:rsid w:val="007B1CB7"/>
    <w:rsid w:val="007B74B8"/>
    <w:rsid w:val="007B76E6"/>
    <w:rsid w:val="007C61C0"/>
    <w:rsid w:val="007D2719"/>
    <w:rsid w:val="007D6E62"/>
    <w:rsid w:val="007D7972"/>
    <w:rsid w:val="007E4AF9"/>
    <w:rsid w:val="007F0984"/>
    <w:rsid w:val="00807F2F"/>
    <w:rsid w:val="00810049"/>
    <w:rsid w:val="008139BA"/>
    <w:rsid w:val="00827C20"/>
    <w:rsid w:val="00861279"/>
    <w:rsid w:val="00865FCE"/>
    <w:rsid w:val="00897FFC"/>
    <w:rsid w:val="008A17CB"/>
    <w:rsid w:val="008C3DB5"/>
    <w:rsid w:val="008D15DD"/>
    <w:rsid w:val="00941E7B"/>
    <w:rsid w:val="00947436"/>
    <w:rsid w:val="00951D25"/>
    <w:rsid w:val="00957A65"/>
    <w:rsid w:val="00964BB8"/>
    <w:rsid w:val="00980F1F"/>
    <w:rsid w:val="00994312"/>
    <w:rsid w:val="009A1A5C"/>
    <w:rsid w:val="009B4CC9"/>
    <w:rsid w:val="00A17B92"/>
    <w:rsid w:val="00A24081"/>
    <w:rsid w:val="00A2569F"/>
    <w:rsid w:val="00A25E0F"/>
    <w:rsid w:val="00A31521"/>
    <w:rsid w:val="00A42A43"/>
    <w:rsid w:val="00A4771E"/>
    <w:rsid w:val="00A52E4C"/>
    <w:rsid w:val="00A61044"/>
    <w:rsid w:val="00A615C5"/>
    <w:rsid w:val="00A832F4"/>
    <w:rsid w:val="00AA151F"/>
    <w:rsid w:val="00AA19CB"/>
    <w:rsid w:val="00AD3C52"/>
    <w:rsid w:val="00B01F73"/>
    <w:rsid w:val="00B30024"/>
    <w:rsid w:val="00B3506B"/>
    <w:rsid w:val="00B5310A"/>
    <w:rsid w:val="00B6639D"/>
    <w:rsid w:val="00B834E4"/>
    <w:rsid w:val="00B87CB4"/>
    <w:rsid w:val="00B965B7"/>
    <w:rsid w:val="00BC32C7"/>
    <w:rsid w:val="00BD352C"/>
    <w:rsid w:val="00BD59C2"/>
    <w:rsid w:val="00BE24A2"/>
    <w:rsid w:val="00BF3B3A"/>
    <w:rsid w:val="00C0201D"/>
    <w:rsid w:val="00C03EC6"/>
    <w:rsid w:val="00C2716E"/>
    <w:rsid w:val="00C31C0A"/>
    <w:rsid w:val="00C37B58"/>
    <w:rsid w:val="00C537D7"/>
    <w:rsid w:val="00C624D3"/>
    <w:rsid w:val="00C64699"/>
    <w:rsid w:val="00C82AD7"/>
    <w:rsid w:val="00C87187"/>
    <w:rsid w:val="00C9018F"/>
    <w:rsid w:val="00C973B8"/>
    <w:rsid w:val="00CB24AB"/>
    <w:rsid w:val="00CC2918"/>
    <w:rsid w:val="00CC5DD6"/>
    <w:rsid w:val="00CC767F"/>
    <w:rsid w:val="00CE338B"/>
    <w:rsid w:val="00CF168E"/>
    <w:rsid w:val="00CF784F"/>
    <w:rsid w:val="00D051D9"/>
    <w:rsid w:val="00D12043"/>
    <w:rsid w:val="00D266C7"/>
    <w:rsid w:val="00D34BD5"/>
    <w:rsid w:val="00D44BB0"/>
    <w:rsid w:val="00D824F7"/>
    <w:rsid w:val="00DA2438"/>
    <w:rsid w:val="00DB2AF5"/>
    <w:rsid w:val="00DB3323"/>
    <w:rsid w:val="00DB750D"/>
    <w:rsid w:val="00DD258F"/>
    <w:rsid w:val="00DE641F"/>
    <w:rsid w:val="00E021D3"/>
    <w:rsid w:val="00E02BC2"/>
    <w:rsid w:val="00E30173"/>
    <w:rsid w:val="00E4712D"/>
    <w:rsid w:val="00E543F7"/>
    <w:rsid w:val="00E61138"/>
    <w:rsid w:val="00E61D6A"/>
    <w:rsid w:val="00E646C6"/>
    <w:rsid w:val="00E834B7"/>
    <w:rsid w:val="00E83690"/>
    <w:rsid w:val="00EC3C50"/>
    <w:rsid w:val="00EC5676"/>
    <w:rsid w:val="00EF5F1E"/>
    <w:rsid w:val="00F11E75"/>
    <w:rsid w:val="00F53AF9"/>
    <w:rsid w:val="00F75D31"/>
    <w:rsid w:val="00F90789"/>
    <w:rsid w:val="00F91F90"/>
    <w:rsid w:val="00FA51C2"/>
    <w:rsid w:val="00FC3DAC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3006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napToGrid w:val="0"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DA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val="en-GB" w:eastAsia="ru-RU"/>
    </w:rPr>
  </w:style>
  <w:style w:type="character" w:customStyle="1" w:styleId="a4">
    <w:name w:val="Основной текст Знак"/>
    <w:basedOn w:val="a0"/>
    <w:link w:val="a3"/>
    <w:rsid w:val="00FC3DAC"/>
    <w:rPr>
      <w:rFonts w:ascii="Times New Roman" w:eastAsia="Times New Roman" w:hAnsi="Times New Roman" w:cs="Times New Roman"/>
      <w:snapToGrid w:val="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9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30068F"/>
    <w:rPr>
      <w:rFonts w:ascii="Times New Roman" w:eastAsia="Times New Roman" w:hAnsi="Times New Roman" w:cs="Times New Roman"/>
      <w:b/>
      <w:bCs/>
      <w:caps/>
      <w:snapToGrid w:val="0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0068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300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068F"/>
    <w:rPr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834B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7">
    <w:name w:val="header"/>
    <w:basedOn w:val="a"/>
    <w:link w:val="a8"/>
    <w:uiPriority w:val="99"/>
    <w:unhideWhenUsed/>
    <w:rsid w:val="0031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021"/>
    <w:rPr>
      <w:lang w:val="en-US"/>
    </w:rPr>
  </w:style>
  <w:style w:type="paragraph" w:styleId="a9">
    <w:name w:val="footer"/>
    <w:basedOn w:val="a"/>
    <w:link w:val="aa"/>
    <w:uiPriority w:val="99"/>
    <w:unhideWhenUsed/>
    <w:rsid w:val="0031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021"/>
    <w:rPr>
      <w:lang w:val="en-US"/>
    </w:rPr>
  </w:style>
  <w:style w:type="paragraph" w:styleId="ab">
    <w:name w:val="List Paragraph"/>
    <w:basedOn w:val="a"/>
    <w:uiPriority w:val="34"/>
    <w:qFormat/>
    <w:rsid w:val="00106759"/>
    <w:pPr>
      <w:ind w:left="720"/>
      <w:contextualSpacing/>
    </w:pPr>
  </w:style>
  <w:style w:type="table" w:styleId="ac">
    <w:name w:val="Table Grid"/>
    <w:basedOn w:val="a1"/>
    <w:uiPriority w:val="59"/>
    <w:rsid w:val="0095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922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en-GB" w:eastAsia="ru-RU"/>
    </w:rPr>
  </w:style>
  <w:style w:type="character" w:customStyle="1" w:styleId="ae">
    <w:name w:val="Название Знак"/>
    <w:basedOn w:val="a0"/>
    <w:link w:val="ad"/>
    <w:rsid w:val="000922BD"/>
    <w:rPr>
      <w:rFonts w:ascii="Times New Roman" w:eastAsia="Times New Roman" w:hAnsi="Times New Roman" w:cs="Times New Roman"/>
      <w:b/>
      <w:bCs/>
      <w:snapToGrid w:val="0"/>
      <w:sz w:val="28"/>
      <w:szCs w:val="2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3006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napToGrid w:val="0"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DA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val="en-GB" w:eastAsia="ru-RU"/>
    </w:rPr>
  </w:style>
  <w:style w:type="character" w:customStyle="1" w:styleId="a4">
    <w:name w:val="Основной текст Знак"/>
    <w:basedOn w:val="a0"/>
    <w:link w:val="a3"/>
    <w:rsid w:val="00FC3DAC"/>
    <w:rPr>
      <w:rFonts w:ascii="Times New Roman" w:eastAsia="Times New Roman" w:hAnsi="Times New Roman" w:cs="Times New Roman"/>
      <w:snapToGrid w:val="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9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30068F"/>
    <w:rPr>
      <w:rFonts w:ascii="Times New Roman" w:eastAsia="Times New Roman" w:hAnsi="Times New Roman" w:cs="Times New Roman"/>
      <w:b/>
      <w:bCs/>
      <w:caps/>
      <w:snapToGrid w:val="0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0068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300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068F"/>
    <w:rPr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834B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7">
    <w:name w:val="header"/>
    <w:basedOn w:val="a"/>
    <w:link w:val="a8"/>
    <w:uiPriority w:val="99"/>
    <w:unhideWhenUsed/>
    <w:rsid w:val="0031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021"/>
    <w:rPr>
      <w:lang w:val="en-US"/>
    </w:rPr>
  </w:style>
  <w:style w:type="paragraph" w:styleId="a9">
    <w:name w:val="footer"/>
    <w:basedOn w:val="a"/>
    <w:link w:val="aa"/>
    <w:uiPriority w:val="99"/>
    <w:unhideWhenUsed/>
    <w:rsid w:val="0031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021"/>
    <w:rPr>
      <w:lang w:val="en-US"/>
    </w:rPr>
  </w:style>
  <w:style w:type="paragraph" w:styleId="ab">
    <w:name w:val="List Paragraph"/>
    <w:basedOn w:val="a"/>
    <w:uiPriority w:val="34"/>
    <w:qFormat/>
    <w:rsid w:val="00106759"/>
    <w:pPr>
      <w:ind w:left="720"/>
      <w:contextualSpacing/>
    </w:pPr>
  </w:style>
  <w:style w:type="table" w:styleId="ac">
    <w:name w:val="Table Grid"/>
    <w:basedOn w:val="a1"/>
    <w:uiPriority w:val="59"/>
    <w:rsid w:val="0095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922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en-GB" w:eastAsia="ru-RU"/>
    </w:rPr>
  </w:style>
  <w:style w:type="character" w:customStyle="1" w:styleId="ae">
    <w:name w:val="Название Знак"/>
    <w:basedOn w:val="a0"/>
    <w:link w:val="ad"/>
    <w:rsid w:val="000922BD"/>
    <w:rPr>
      <w:rFonts w:ascii="Times New Roman" w:eastAsia="Times New Roman" w:hAnsi="Times New Roman" w:cs="Times New Roman"/>
      <w:b/>
      <w:bCs/>
      <w:snapToGrid w:val="0"/>
      <w:sz w:val="28"/>
      <w:szCs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\\Kutigsrv2\X\resource\entities\GREATER-THAN_OR_EQUAL_TO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1E95-4015-489D-865B-D2569781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3395</Words>
  <Characters>19353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EGIS Gyógyszergyár NyRt.</Company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Farago2, Maria HU</dc:creator>
  <cp:lastModifiedBy>user</cp:lastModifiedBy>
  <cp:revision>4</cp:revision>
  <dcterms:created xsi:type="dcterms:W3CDTF">2015-06-05T09:43:00Z</dcterms:created>
  <dcterms:modified xsi:type="dcterms:W3CDTF">2015-06-05T12:26:00Z</dcterms:modified>
</cp:coreProperties>
</file>